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47" w:rsidRPr="00702574" w:rsidRDefault="00C063A6">
      <w:pPr>
        <w:spacing w:before="61"/>
        <w:ind w:left="3260"/>
        <w:rPr>
          <w:sz w:val="28"/>
        </w:rPr>
      </w:pPr>
      <w:r>
        <w:rPr>
          <w:color w:val="943735"/>
          <w:sz w:val="28"/>
        </w:rPr>
        <w:t>AZERBAI</w:t>
      </w:r>
      <w:r w:rsidR="00591047">
        <w:rPr>
          <w:color w:val="943735"/>
          <w:sz w:val="28"/>
        </w:rPr>
        <w:t>JAN BANKS ASSOCIATI</w:t>
      </w:r>
      <w:r w:rsidR="00702574">
        <w:rPr>
          <w:color w:val="943735"/>
          <w:sz w:val="28"/>
        </w:rPr>
        <w:t>ON</w:t>
      </w: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830447">
      <w:pPr>
        <w:pStyle w:val="BodyText"/>
        <w:rPr>
          <w:sz w:val="20"/>
        </w:rPr>
      </w:pPr>
    </w:p>
    <w:p w:rsidR="00830447" w:rsidRDefault="001D64EC">
      <w:pPr>
        <w:pStyle w:val="BodyText"/>
        <w:spacing w:before="4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pt;margin-top:15.8pt;width:612pt;height:115.75pt;z-index:251657216;mso-wrap-distance-left:0;mso-wrap-distance-right:0;mso-position-horizontal-relative:page" fillcolor="#d99593" stroked="f">
            <v:textbox inset="0,0,0,0">
              <w:txbxContent>
                <w:p w:rsidR="00DF1BC0" w:rsidRDefault="00DF1BC0">
                  <w:pPr>
                    <w:spacing w:before="504" w:line="249" w:lineRule="auto"/>
                    <w:ind w:left="5054" w:right="1395" w:hanging="2552"/>
                    <w:rPr>
                      <w:b/>
                      <w:sz w:val="56"/>
                    </w:rPr>
                  </w:pPr>
                  <w:r>
                    <w:rPr>
                      <w:b/>
                      <w:color w:val="622422"/>
                      <w:sz w:val="56"/>
                    </w:rPr>
                    <w:t>MACROFINANCE REVIEW 2017 /12/</w:t>
                  </w:r>
                </w:p>
              </w:txbxContent>
            </v:textbox>
            <w10:wrap type="topAndBottom" anchorx="page"/>
          </v:shape>
        </w:pict>
      </w:r>
    </w:p>
    <w:p w:rsidR="00830447" w:rsidRDefault="00830447">
      <w:pPr>
        <w:rPr>
          <w:sz w:val="25"/>
        </w:rPr>
        <w:sectPr w:rsidR="00830447">
          <w:type w:val="continuous"/>
          <w:pgSz w:w="14400" w:h="10800" w:orient="landscape"/>
          <w:pgMar w:top="500" w:right="740" w:bottom="280" w:left="1220" w:header="720" w:footer="720" w:gutter="0"/>
          <w:cols w:space="720"/>
        </w:sectPr>
      </w:pPr>
    </w:p>
    <w:p w:rsidR="00830447" w:rsidRDefault="001D64EC">
      <w:pPr>
        <w:pStyle w:val="BodyText"/>
        <w:rPr>
          <w:sz w:val="20"/>
        </w:rPr>
      </w:pPr>
      <w:r>
        <w:lastRenderedPageBreak/>
        <w:pict>
          <v:group id="_x0000_s1026" style="position:absolute;margin-left:-6.6pt;margin-top:21.65pt;width:9in;height:460.75pt;z-index:-251658240;mso-position-horizontal-relative:page;mso-position-vertical-relative:page" coordorigin="720,433" coordsize="12960,9215">
            <v:rect id="_x0000_s1028" style="position:absolute;left:720;top:432;width:12960;height:1800" fillcolor="#e6b8b8" stroked="f"/>
            <v:rect id="_x0000_s1027" style="position:absolute;left:720;top:2279;width:12960;height:7368" fillcolor="#f1dcdb" stroked="f"/>
            <w10:wrap anchorx="page" anchory="page"/>
          </v:group>
        </w:pict>
      </w:r>
    </w:p>
    <w:p w:rsidR="00830447" w:rsidRDefault="00830447">
      <w:pPr>
        <w:pStyle w:val="BodyText"/>
        <w:rPr>
          <w:sz w:val="20"/>
        </w:rPr>
      </w:pPr>
    </w:p>
    <w:p w:rsidR="00830447" w:rsidRDefault="00833AA0">
      <w:pPr>
        <w:spacing w:before="206"/>
        <w:ind w:left="5549" w:right="5549"/>
        <w:jc w:val="center"/>
        <w:rPr>
          <w:b/>
          <w:sz w:val="40"/>
        </w:rPr>
      </w:pPr>
      <w:r>
        <w:rPr>
          <w:b/>
          <w:sz w:val="40"/>
        </w:rPr>
        <w:t>Reason</w:t>
      </w:r>
    </w:p>
    <w:p w:rsidR="00830447" w:rsidRDefault="00830447">
      <w:pPr>
        <w:pStyle w:val="BodyText"/>
        <w:rPr>
          <w:b/>
          <w:sz w:val="20"/>
        </w:rPr>
      </w:pPr>
    </w:p>
    <w:p w:rsidR="00830447" w:rsidRDefault="00830447">
      <w:pPr>
        <w:pStyle w:val="BodyText"/>
        <w:rPr>
          <w:b/>
          <w:sz w:val="20"/>
        </w:rPr>
      </w:pPr>
    </w:p>
    <w:p w:rsidR="00830447" w:rsidRDefault="00830447">
      <w:pPr>
        <w:pStyle w:val="BodyText"/>
        <w:rPr>
          <w:b/>
          <w:sz w:val="20"/>
        </w:rPr>
      </w:pPr>
    </w:p>
    <w:p w:rsidR="00830447" w:rsidRDefault="00702574">
      <w:pPr>
        <w:pStyle w:val="Heading1"/>
        <w:spacing w:line="424" w:lineRule="auto"/>
        <w:ind w:right="10190"/>
      </w:pPr>
      <w:r>
        <w:t>Real sector Monetar</w:t>
      </w:r>
      <w:r w:rsidR="003A4DD5">
        <w:t>y sector Bank sector</w:t>
      </w:r>
    </w:p>
    <w:p w:rsidR="003A4DD5" w:rsidRDefault="003A4DD5" w:rsidP="00833AA0">
      <w:pPr>
        <w:pStyle w:val="BodyText"/>
        <w:spacing w:before="11" w:line="427" w:lineRule="auto"/>
        <w:ind w:left="244" w:right="6959"/>
      </w:pPr>
      <w:r>
        <w:t>Structure of bank market and</w:t>
      </w:r>
      <w:r w:rsidR="00702574">
        <w:t xml:space="preserve"> </w:t>
      </w:r>
      <w:r w:rsidR="00833AA0">
        <w:t xml:space="preserve">service </w:t>
      </w:r>
      <w:r>
        <w:t>network</w:t>
      </w:r>
    </w:p>
    <w:p w:rsidR="00833AA0" w:rsidRDefault="00833AA0" w:rsidP="00833AA0">
      <w:pPr>
        <w:pStyle w:val="BodyText"/>
        <w:spacing w:before="11" w:line="427" w:lineRule="auto"/>
        <w:ind w:right="6959"/>
      </w:pPr>
      <w:r>
        <w:t xml:space="preserve">   </w:t>
      </w:r>
      <w:r w:rsidR="003A4DD5">
        <w:t>Basic indicators of bank sector</w:t>
      </w:r>
      <w:r w:rsidR="00702574">
        <w:t xml:space="preserve"> </w:t>
      </w:r>
    </w:p>
    <w:p w:rsidR="003A4DD5" w:rsidRDefault="00833AA0" w:rsidP="00833AA0">
      <w:pPr>
        <w:pStyle w:val="BodyText"/>
        <w:spacing w:before="11" w:line="427" w:lineRule="auto"/>
        <w:ind w:right="6959"/>
      </w:pPr>
      <w:r>
        <w:t xml:space="preserve">   </w:t>
      </w:r>
      <w:r w:rsidR="003A4DD5">
        <w:t>Profit (loss) indicators of bank sec</w:t>
      </w:r>
      <w:r w:rsidR="00702574">
        <w:t>tor</w:t>
      </w:r>
      <w:r w:rsidR="003A4DD5">
        <w:t xml:space="preserve"> </w:t>
      </w:r>
    </w:p>
    <w:p w:rsidR="00830447" w:rsidRDefault="00833AA0" w:rsidP="00833AA0">
      <w:pPr>
        <w:pStyle w:val="BodyText"/>
        <w:spacing w:before="8" w:line="424" w:lineRule="auto"/>
        <w:ind w:right="6827"/>
      </w:pPr>
      <w:r>
        <w:t xml:space="preserve">   </w:t>
      </w:r>
      <w:r w:rsidR="00B344D7">
        <w:t>Politics and market interest rates</w:t>
      </w:r>
    </w:p>
    <w:p w:rsidR="00833AA0" w:rsidRDefault="00833AA0" w:rsidP="00833AA0">
      <w:pPr>
        <w:pStyle w:val="BodyText"/>
        <w:spacing w:before="12"/>
      </w:pPr>
      <w:r>
        <w:t xml:space="preserve">   </w:t>
      </w:r>
      <w:r w:rsidR="00F046B3">
        <w:t xml:space="preserve">Financial </w:t>
      </w:r>
      <w:r w:rsidR="00CE49FD">
        <w:t>stability indicators of bank sector</w:t>
      </w:r>
    </w:p>
    <w:p w:rsidR="00833AA0" w:rsidRDefault="00833AA0" w:rsidP="00833AA0">
      <w:pPr>
        <w:pStyle w:val="BodyText"/>
        <w:spacing w:before="12"/>
      </w:pPr>
    </w:p>
    <w:p w:rsidR="00833AA0" w:rsidRPr="00833AA0" w:rsidRDefault="00CE49FD" w:rsidP="00833AA0">
      <w:pPr>
        <w:pStyle w:val="BodyText"/>
        <w:spacing w:before="12"/>
        <w:rPr>
          <w:b/>
        </w:rPr>
      </w:pPr>
      <w:r w:rsidRPr="00833AA0">
        <w:rPr>
          <w:b/>
        </w:rPr>
        <w:t>External sector (balance of payments</w:t>
      </w:r>
      <w:r w:rsidR="00702574" w:rsidRPr="00833AA0">
        <w:rPr>
          <w:b/>
        </w:rPr>
        <w:t xml:space="preserve">) </w:t>
      </w:r>
    </w:p>
    <w:p w:rsidR="00830447" w:rsidRDefault="00702574" w:rsidP="00833AA0">
      <w:pPr>
        <w:pStyle w:val="Heading1"/>
        <w:spacing w:before="284" w:line="424" w:lineRule="auto"/>
        <w:ind w:left="0"/>
      </w:pPr>
      <w:r>
        <w:t>Fis</w:t>
      </w:r>
      <w:r w:rsidR="00CE49FD">
        <w:t>c</w:t>
      </w:r>
      <w:r>
        <w:t>al se</w:t>
      </w:r>
      <w:r w:rsidR="00CE49FD">
        <w:t>c</w:t>
      </w:r>
      <w:r>
        <w:t>tor</w:t>
      </w:r>
    </w:p>
    <w:p w:rsidR="00830447" w:rsidRDefault="00830447">
      <w:pPr>
        <w:spacing w:line="424" w:lineRule="auto"/>
        <w:sectPr w:rsidR="00830447">
          <w:footerReference w:type="default" r:id="rId6"/>
          <w:pgSz w:w="14400" w:h="10800" w:orient="landscape"/>
          <w:pgMar w:top="440" w:right="620" w:bottom="560" w:left="620" w:header="0" w:footer="365" w:gutter="0"/>
          <w:pgNumType w:start="2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110"/>
        <w:gridCol w:w="1329"/>
        <w:gridCol w:w="1308"/>
        <w:gridCol w:w="1308"/>
        <w:gridCol w:w="1308"/>
        <w:gridCol w:w="1287"/>
      </w:tblGrid>
      <w:tr w:rsidR="00830447" w:rsidTr="00833AA0">
        <w:trPr>
          <w:trHeight w:val="1340"/>
        </w:trPr>
        <w:tc>
          <w:tcPr>
            <w:tcW w:w="1430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830447" w:rsidRDefault="00833AA0">
            <w:pPr>
              <w:pStyle w:val="TableParagraph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5110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830447" w:rsidRDefault="00833AA0">
            <w:pPr>
              <w:pStyle w:val="TableParagraph"/>
              <w:ind w:left="2142" w:right="2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 sec</w:t>
            </w:r>
            <w:r w:rsidR="00702574">
              <w:rPr>
                <w:b/>
                <w:sz w:val="24"/>
              </w:rPr>
              <w:t>tor</w:t>
            </w:r>
          </w:p>
        </w:tc>
        <w:tc>
          <w:tcPr>
            <w:tcW w:w="132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830447" w:rsidRDefault="00702574">
            <w:pPr>
              <w:pStyle w:val="TableParagraph"/>
              <w:ind w:lef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308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830447" w:rsidRDefault="00702574">
            <w:pPr>
              <w:pStyle w:val="TableParagraph"/>
              <w:ind w:left="4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308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830447" w:rsidRDefault="00702574">
            <w:pPr>
              <w:pStyle w:val="TableParagraph"/>
              <w:ind w:left="4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308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830447" w:rsidRDefault="00702574">
            <w:pPr>
              <w:pStyle w:val="TableParagraph"/>
              <w:ind w:left="4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287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</w:rPr>
            </w:pPr>
          </w:p>
          <w:p w:rsidR="00830447" w:rsidRDefault="0083044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830447" w:rsidRDefault="00702574">
            <w:pPr>
              <w:pStyle w:val="TableParagraph"/>
              <w:spacing w:before="1"/>
              <w:ind w:left="41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702574">
            <w:pPr>
              <w:pStyle w:val="TableParagraph"/>
              <w:spacing w:before="22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10" w:type="dxa"/>
            <w:shd w:val="clear" w:color="auto" w:fill="E6B8B8"/>
          </w:tcPr>
          <w:p w:rsidR="00830447" w:rsidRDefault="00833AA0">
            <w:pPr>
              <w:pStyle w:val="TableParagraph"/>
              <w:spacing w:before="189"/>
              <w:ind w:left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GDP</w:t>
            </w:r>
            <w:r w:rsidR="00702574">
              <w:rPr>
                <w:b/>
                <w:sz w:val="24"/>
              </w:rPr>
              <w:t xml:space="preserve"> (mln. manat</w:t>
            </w:r>
            <w:r w:rsidR="001015C4">
              <w:rPr>
                <w:b/>
                <w:sz w:val="24"/>
              </w:rPr>
              <w:t>s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329" w:type="dxa"/>
            <w:shd w:val="clear" w:color="auto" w:fill="E6B8B8"/>
          </w:tcPr>
          <w:p w:rsidR="00830447" w:rsidRDefault="00702574">
            <w:pPr>
              <w:pStyle w:val="TableParagraph"/>
              <w:spacing w:before="189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12522.5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>42465.0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>54352.1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89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59987.7</w:t>
            </w:r>
          </w:p>
        </w:tc>
        <w:tc>
          <w:tcPr>
            <w:tcW w:w="128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spacing w:before="1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70135.1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110" w:type="dxa"/>
            <w:shd w:val="clear" w:color="auto" w:fill="F1DCDB"/>
          </w:tcPr>
          <w:p w:rsidR="00830447" w:rsidRDefault="001015C4" w:rsidP="001015C4">
            <w:pPr>
              <w:pStyle w:val="TableParagraph"/>
              <w:spacing w:before="189"/>
              <w:ind w:left="245"/>
              <w:jc w:val="left"/>
              <w:rPr>
                <w:sz w:val="24"/>
              </w:rPr>
            </w:pPr>
            <w:r w:rsidRPr="001015C4">
              <w:rPr>
                <w:sz w:val="24"/>
              </w:rPr>
              <w:t>annual growth rate</w:t>
            </w:r>
            <w:r>
              <w:rPr>
                <w:sz w:val="24"/>
              </w:rPr>
              <w:t xml:space="preserve"> of GDP</w:t>
            </w:r>
            <w:r w:rsidR="00702574">
              <w:rPr>
                <w:sz w:val="24"/>
              </w:rPr>
              <w:t xml:space="preserve"> (%)</w:t>
            </w:r>
          </w:p>
        </w:tc>
        <w:tc>
          <w:tcPr>
            <w:tcW w:w="1329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ind w:right="2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16.9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ind w:right="1"/>
              <w:rPr>
                <w:sz w:val="24"/>
              </w:rPr>
            </w:pPr>
            <w:r>
              <w:rPr>
                <w:sz w:val="24"/>
              </w:rPr>
              <w:t>-3.8</w:t>
            </w:r>
          </w:p>
        </w:tc>
        <w:tc>
          <w:tcPr>
            <w:tcW w:w="1287" w:type="dxa"/>
            <w:shd w:val="clear" w:color="auto" w:fill="F1DCDB"/>
          </w:tcPr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0.1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702574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0" w:type="dxa"/>
            <w:shd w:val="clear" w:color="auto" w:fill="E6B8B8"/>
          </w:tcPr>
          <w:p w:rsidR="00830447" w:rsidRDefault="00205543" w:rsidP="001015C4">
            <w:pPr>
              <w:pStyle w:val="TableParagraph"/>
              <w:spacing w:before="190"/>
              <w:ind w:left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Non-oil</w:t>
            </w:r>
            <w:r w:rsidR="00702574">
              <w:rPr>
                <w:b/>
                <w:sz w:val="24"/>
              </w:rPr>
              <w:t xml:space="preserve"> </w:t>
            </w:r>
            <w:r w:rsidR="001015C4">
              <w:rPr>
                <w:b/>
                <w:sz w:val="24"/>
              </w:rPr>
              <w:t>GDP</w:t>
            </w:r>
            <w:r w:rsidR="00702574">
              <w:rPr>
                <w:b/>
                <w:sz w:val="24"/>
              </w:rPr>
              <w:t xml:space="preserve"> (mln. manat</w:t>
            </w:r>
            <w:r w:rsidR="001015C4">
              <w:rPr>
                <w:b/>
                <w:sz w:val="24"/>
              </w:rPr>
              <w:t>s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329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6055.0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18442.7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37670.0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39403.1</w:t>
            </w:r>
          </w:p>
        </w:tc>
        <w:tc>
          <w:tcPr>
            <w:tcW w:w="1287" w:type="dxa"/>
            <w:shd w:val="clear" w:color="auto" w:fill="E6B8B8"/>
          </w:tcPr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44061.9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110" w:type="dxa"/>
            <w:shd w:val="clear" w:color="auto" w:fill="F1DCDB"/>
          </w:tcPr>
          <w:p w:rsidR="00830447" w:rsidRDefault="001015C4" w:rsidP="001015C4">
            <w:pPr>
              <w:pStyle w:val="TableParagraph"/>
              <w:spacing w:before="189"/>
              <w:ind w:left="185"/>
              <w:jc w:val="left"/>
              <w:rPr>
                <w:sz w:val="24"/>
              </w:rPr>
            </w:pPr>
            <w:r>
              <w:rPr>
                <w:sz w:val="24"/>
              </w:rPr>
              <w:t>Non-oil</w:t>
            </w:r>
            <w:r w:rsidR="00702574">
              <w:rPr>
                <w:sz w:val="24"/>
              </w:rPr>
              <w:t xml:space="preserve"> </w:t>
            </w:r>
            <w:r w:rsidRPr="001015C4">
              <w:rPr>
                <w:sz w:val="24"/>
              </w:rPr>
              <w:t xml:space="preserve">annual growth rate of GDP </w:t>
            </w:r>
            <w:r>
              <w:rPr>
                <w:sz w:val="24"/>
              </w:rPr>
              <w:t>(%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329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ind w:right="2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89"/>
              <w:ind w:right="1"/>
              <w:rPr>
                <w:sz w:val="24"/>
              </w:rPr>
            </w:pPr>
            <w:r>
              <w:rPr>
                <w:sz w:val="24"/>
              </w:rPr>
              <w:t>-5.4</w:t>
            </w:r>
          </w:p>
        </w:tc>
        <w:tc>
          <w:tcPr>
            <w:tcW w:w="1287" w:type="dxa"/>
            <w:shd w:val="clear" w:color="auto" w:fill="F1DCDB"/>
          </w:tcPr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2.7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702574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0" w:type="dxa"/>
            <w:shd w:val="clear" w:color="auto" w:fill="E6B8B8"/>
          </w:tcPr>
          <w:p w:rsidR="00830447" w:rsidRDefault="00B5751E">
            <w:pPr>
              <w:pStyle w:val="TableParagraph"/>
              <w:spacing w:before="190"/>
              <w:ind w:left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CA0079">
              <w:rPr>
                <w:b/>
                <w:sz w:val="24"/>
              </w:rPr>
              <w:t>nvestment in fixed capital (mln. manats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329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5424.3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9715.2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15957.0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14903.4</w:t>
            </w:r>
          </w:p>
        </w:tc>
        <w:tc>
          <w:tcPr>
            <w:tcW w:w="1287" w:type="dxa"/>
            <w:shd w:val="clear" w:color="auto" w:fill="E6B8B8"/>
          </w:tcPr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15550.8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110" w:type="dxa"/>
            <w:shd w:val="clear" w:color="auto" w:fill="F1DCDB"/>
          </w:tcPr>
          <w:p w:rsidR="00830447" w:rsidRDefault="00CF3C90" w:rsidP="00CF3C90">
            <w:pPr>
              <w:pStyle w:val="TableParagraph"/>
              <w:spacing w:before="190"/>
              <w:ind w:left="185"/>
              <w:jc w:val="left"/>
              <w:rPr>
                <w:sz w:val="24"/>
              </w:rPr>
            </w:pPr>
            <w:r>
              <w:rPr>
                <w:sz w:val="24"/>
              </w:rPr>
              <w:t>Annual growth rate of i</w:t>
            </w:r>
            <w:r w:rsidR="00CA0079">
              <w:rPr>
                <w:sz w:val="24"/>
              </w:rPr>
              <w:t>nvestment in fixed capital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329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ind w:right="2"/>
              <w:rPr>
                <w:sz w:val="24"/>
              </w:rPr>
            </w:pPr>
            <w:r>
              <w:rPr>
                <w:sz w:val="24"/>
              </w:rPr>
              <w:t>44.1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13.9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ind w:right="1"/>
              <w:rPr>
                <w:sz w:val="24"/>
              </w:rPr>
            </w:pPr>
            <w:r>
              <w:rPr>
                <w:sz w:val="24"/>
              </w:rPr>
              <w:t>-26.1</w:t>
            </w:r>
          </w:p>
        </w:tc>
        <w:tc>
          <w:tcPr>
            <w:tcW w:w="1287" w:type="dxa"/>
            <w:shd w:val="clear" w:color="auto" w:fill="F1DCDB"/>
          </w:tcPr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-2.6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702574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0" w:type="dxa"/>
            <w:shd w:val="clear" w:color="auto" w:fill="E6B8B8"/>
          </w:tcPr>
          <w:p w:rsidR="00830447" w:rsidRDefault="00CF3C90" w:rsidP="00CA0079">
            <w:pPr>
              <w:pStyle w:val="TableParagraph"/>
              <w:spacing w:before="190"/>
              <w:ind w:left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8E5B05" w:rsidRPr="008E5B05">
              <w:rPr>
                <w:b/>
                <w:sz w:val="24"/>
              </w:rPr>
              <w:t xml:space="preserve">ominal money income of the population </w:t>
            </w:r>
            <w:r w:rsidR="00702574">
              <w:rPr>
                <w:b/>
                <w:sz w:val="24"/>
              </w:rPr>
              <w:t>(mln. manat</w:t>
            </w:r>
            <w:r w:rsidR="00CA0079">
              <w:rPr>
                <w:b/>
                <w:sz w:val="24"/>
              </w:rPr>
              <w:t>s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329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7792.3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25605.6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41738.6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45395.1</w:t>
            </w:r>
          </w:p>
        </w:tc>
        <w:tc>
          <w:tcPr>
            <w:tcW w:w="1287" w:type="dxa"/>
            <w:shd w:val="clear" w:color="auto" w:fill="E6B8B8"/>
          </w:tcPr>
          <w:p w:rsidR="00830447" w:rsidRDefault="00830447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spacing w:before="1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49162.9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110" w:type="dxa"/>
            <w:shd w:val="clear" w:color="auto" w:fill="F1DCDB"/>
          </w:tcPr>
          <w:p w:rsidR="00830447" w:rsidRDefault="00FF0FAB" w:rsidP="00FF0FAB">
            <w:pPr>
              <w:pStyle w:val="TableParagraph"/>
              <w:spacing w:before="4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A</w:t>
            </w:r>
            <w:r w:rsidR="008E5B05" w:rsidRPr="008E5B05">
              <w:rPr>
                <w:sz w:val="24"/>
              </w:rPr>
              <w:t>nnual growth rate</w:t>
            </w:r>
            <w:r>
              <w:rPr>
                <w:sz w:val="24"/>
              </w:rPr>
              <w:t xml:space="preserve"> of </w:t>
            </w:r>
            <w:r w:rsidRPr="00FF0FAB">
              <w:rPr>
                <w:sz w:val="24"/>
              </w:rPr>
              <w:t xml:space="preserve">nominal money income of the </w:t>
            </w:r>
            <w:r>
              <w:rPr>
                <w:sz w:val="24"/>
              </w:rPr>
              <w:t xml:space="preserve">   </w:t>
            </w:r>
            <w:r w:rsidRPr="00FF0FAB">
              <w:rPr>
                <w:sz w:val="24"/>
              </w:rPr>
              <w:t>population</w:t>
            </w:r>
            <w:r w:rsidR="008E5B05" w:rsidRPr="008E5B05">
              <w:rPr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329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ind w:right="2"/>
              <w:rPr>
                <w:sz w:val="24"/>
              </w:rPr>
            </w:pPr>
            <w:r>
              <w:rPr>
                <w:sz w:val="24"/>
              </w:rPr>
              <w:t>15.9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24.6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0"/>
              <w:ind w:right="1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1287" w:type="dxa"/>
            <w:shd w:val="clear" w:color="auto" w:fill="F1DCDB"/>
          </w:tcPr>
          <w:p w:rsidR="00830447" w:rsidRDefault="00830447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8.3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702574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0" w:type="dxa"/>
            <w:shd w:val="clear" w:color="auto" w:fill="E6B8B8"/>
          </w:tcPr>
          <w:p w:rsidR="00830447" w:rsidRDefault="00FF0FAB">
            <w:pPr>
              <w:pStyle w:val="TableParagraph"/>
              <w:spacing w:before="190"/>
              <w:ind w:left="5"/>
              <w:jc w:val="left"/>
              <w:rPr>
                <w:b/>
                <w:sz w:val="24"/>
              </w:rPr>
            </w:pPr>
            <w:r w:rsidRPr="00FF0FAB">
              <w:rPr>
                <w:b/>
                <w:sz w:val="24"/>
              </w:rPr>
              <w:t xml:space="preserve">Nominal average monthly salary </w:t>
            </w:r>
            <w:r>
              <w:rPr>
                <w:b/>
                <w:sz w:val="24"/>
              </w:rPr>
              <w:t>(manat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329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117.9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325.0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462.0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494.3</w:t>
            </w:r>
          </w:p>
        </w:tc>
        <w:tc>
          <w:tcPr>
            <w:tcW w:w="1287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525.0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110" w:type="dxa"/>
            <w:shd w:val="clear" w:color="auto" w:fill="F1DCDB"/>
          </w:tcPr>
          <w:p w:rsidR="00830447" w:rsidRDefault="00FF0FAB" w:rsidP="00FF0FAB">
            <w:pPr>
              <w:pStyle w:val="TableParagraph"/>
              <w:spacing w:before="47" w:line="249" w:lineRule="auto"/>
              <w:ind w:left="5" w:right="374" w:firstLine="18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 w:rsidRPr="00FF0FAB">
              <w:rPr>
                <w:sz w:val="24"/>
              </w:rPr>
              <w:t>nnual growth rate</w:t>
            </w:r>
            <w:r>
              <w:t xml:space="preserve"> of </w:t>
            </w:r>
            <w:r>
              <w:rPr>
                <w:sz w:val="24"/>
              </w:rPr>
              <w:t>n</w:t>
            </w:r>
            <w:r w:rsidRPr="00FF0FAB">
              <w:rPr>
                <w:sz w:val="24"/>
              </w:rPr>
              <w:t xml:space="preserve">ominal average monthly salary </w:t>
            </w:r>
            <w:r>
              <w:rPr>
                <w:sz w:val="24"/>
              </w:rPr>
              <w:t>(%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329" w:type="dxa"/>
            <w:shd w:val="clear" w:color="auto" w:fill="F1DCDB"/>
          </w:tcPr>
          <w:p w:rsidR="00830447" w:rsidRDefault="00702574">
            <w:pPr>
              <w:pStyle w:val="TableParagraph"/>
              <w:spacing w:before="191"/>
              <w:ind w:right="2"/>
              <w:rPr>
                <w:sz w:val="24"/>
              </w:rPr>
            </w:pPr>
            <w:r>
              <w:rPr>
                <w:sz w:val="24"/>
              </w:rPr>
              <w:t>23.5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20.7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308" w:type="dxa"/>
            <w:shd w:val="clear" w:color="auto" w:fill="F1DCDB"/>
          </w:tcPr>
          <w:p w:rsidR="00830447" w:rsidRDefault="00702574">
            <w:pPr>
              <w:pStyle w:val="TableParagraph"/>
              <w:spacing w:before="191"/>
              <w:ind w:right="1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287" w:type="dxa"/>
            <w:shd w:val="clear" w:color="auto" w:fill="F1DCDB"/>
          </w:tcPr>
          <w:p w:rsidR="00830447" w:rsidRDefault="00830447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6.2</w:t>
            </w:r>
          </w:p>
        </w:tc>
      </w:tr>
      <w:tr w:rsidR="00830447" w:rsidTr="00833AA0">
        <w:trPr>
          <w:trHeight w:val="640"/>
        </w:trPr>
        <w:tc>
          <w:tcPr>
            <w:tcW w:w="1430" w:type="dxa"/>
            <w:shd w:val="clear" w:color="auto" w:fill="E6B8B8"/>
          </w:tcPr>
          <w:p w:rsidR="00830447" w:rsidRDefault="00702574">
            <w:pPr>
              <w:pStyle w:val="TableParagraph"/>
              <w:spacing w:before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0" w:type="dxa"/>
            <w:shd w:val="clear" w:color="auto" w:fill="E6B8B8"/>
          </w:tcPr>
          <w:p w:rsidR="00830447" w:rsidRDefault="00DF1BC0">
            <w:pPr>
              <w:pStyle w:val="TableParagraph"/>
              <w:spacing w:before="191"/>
              <w:ind w:left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FF0FAB">
              <w:rPr>
                <w:b/>
                <w:sz w:val="24"/>
              </w:rPr>
              <w:t>nflation (%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329" w:type="dxa"/>
            <w:shd w:val="clear" w:color="auto" w:fill="E6B8B8"/>
          </w:tcPr>
          <w:p w:rsidR="00830447" w:rsidRDefault="00702574">
            <w:pPr>
              <w:pStyle w:val="TableParagraph"/>
              <w:spacing w:before="191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sz w:val="24"/>
              </w:rPr>
              <w:t>10.6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1308" w:type="dxa"/>
            <w:shd w:val="clear" w:color="auto" w:fill="E6B8B8"/>
          </w:tcPr>
          <w:p w:rsidR="00830447" w:rsidRDefault="00702574">
            <w:pPr>
              <w:pStyle w:val="TableParagraph"/>
              <w:spacing w:before="19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12.4</w:t>
            </w:r>
          </w:p>
        </w:tc>
        <w:tc>
          <w:tcPr>
            <w:tcW w:w="1287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830447" w:rsidRDefault="00702574">
            <w:pPr>
              <w:pStyle w:val="TableParagraph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12.9</w:t>
            </w:r>
          </w:p>
        </w:tc>
      </w:tr>
    </w:tbl>
    <w:p w:rsidR="00830447" w:rsidRDefault="00830447">
      <w:pPr>
        <w:rPr>
          <w:rFonts w:ascii="Arial"/>
          <w:sz w:val="20"/>
        </w:rPr>
        <w:sectPr w:rsidR="00830447">
          <w:pgSz w:w="14400" w:h="10800" w:orient="landscape"/>
          <w:pgMar w:top="820" w:right="480" w:bottom="560" w:left="600" w:header="0" w:footer="365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467"/>
        <w:gridCol w:w="1222"/>
        <w:gridCol w:w="1222"/>
        <w:gridCol w:w="1223"/>
        <w:gridCol w:w="1295"/>
        <w:gridCol w:w="1220"/>
      </w:tblGrid>
      <w:tr w:rsidR="00830447" w:rsidTr="00FF0FAB">
        <w:trPr>
          <w:trHeight w:val="680"/>
        </w:trPr>
        <w:tc>
          <w:tcPr>
            <w:tcW w:w="1430" w:type="dxa"/>
            <w:shd w:val="clear" w:color="auto" w:fill="E6B8B8"/>
          </w:tcPr>
          <w:p w:rsidR="00830447" w:rsidRDefault="00FF0FAB">
            <w:pPr>
              <w:pStyle w:val="TableParagraph"/>
              <w:spacing w:before="206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5467" w:type="dxa"/>
            <w:shd w:val="clear" w:color="auto" w:fill="E6B8B8"/>
          </w:tcPr>
          <w:p w:rsidR="00830447" w:rsidRDefault="00702574">
            <w:pPr>
              <w:pStyle w:val="TableParagraph"/>
              <w:spacing w:before="206"/>
              <w:ind w:left="2185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Monetar</w:t>
            </w:r>
            <w:r w:rsidR="00FF0FAB">
              <w:rPr>
                <w:b/>
                <w:sz w:val="24"/>
              </w:rPr>
              <w:t>y sec</w:t>
            </w:r>
            <w:r>
              <w:rPr>
                <w:b/>
                <w:sz w:val="24"/>
              </w:rPr>
              <w:t>tor</w:t>
            </w:r>
          </w:p>
        </w:tc>
        <w:tc>
          <w:tcPr>
            <w:tcW w:w="1222" w:type="dxa"/>
            <w:shd w:val="clear" w:color="auto" w:fill="E6B8B8"/>
          </w:tcPr>
          <w:p w:rsidR="00830447" w:rsidRDefault="00702574">
            <w:pPr>
              <w:pStyle w:val="TableParagraph"/>
              <w:spacing w:before="206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222" w:type="dxa"/>
            <w:shd w:val="clear" w:color="auto" w:fill="E6B8B8"/>
          </w:tcPr>
          <w:p w:rsidR="00830447" w:rsidRDefault="00702574">
            <w:pPr>
              <w:pStyle w:val="TableParagraph"/>
              <w:spacing w:before="206"/>
              <w:ind w:left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223" w:type="dxa"/>
            <w:shd w:val="clear" w:color="auto" w:fill="E6B8B8"/>
          </w:tcPr>
          <w:p w:rsidR="00830447" w:rsidRDefault="00702574">
            <w:pPr>
              <w:pStyle w:val="TableParagraph"/>
              <w:spacing w:before="206"/>
              <w:ind w:left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295" w:type="dxa"/>
            <w:shd w:val="clear" w:color="auto" w:fill="E6B8B8"/>
          </w:tcPr>
          <w:p w:rsidR="00830447" w:rsidRDefault="00702574">
            <w:pPr>
              <w:pStyle w:val="TableParagraph"/>
              <w:spacing w:before="206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220" w:type="dxa"/>
            <w:shd w:val="clear" w:color="auto" w:fill="E6B8B8"/>
          </w:tcPr>
          <w:p w:rsidR="00830447" w:rsidRDefault="00830447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830447" w:rsidRDefault="00702574">
            <w:pPr>
              <w:pStyle w:val="TableParagraph"/>
              <w:ind w:left="38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67" w:type="dxa"/>
            <w:shd w:val="clear" w:color="auto" w:fill="E6B8B8"/>
          </w:tcPr>
          <w:p w:rsidR="00830447" w:rsidRDefault="001821A2" w:rsidP="001821A2">
            <w:pPr>
              <w:pStyle w:val="TableParagraph"/>
              <w:spacing w:before="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Monetary base</w:t>
            </w:r>
          </w:p>
        </w:tc>
        <w:tc>
          <w:tcPr>
            <w:tcW w:w="1222" w:type="dxa"/>
            <w:shd w:val="clear" w:color="auto" w:fill="E6B8B8"/>
          </w:tcPr>
          <w:p w:rsidR="00830447" w:rsidRDefault="00702574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885.8</w:t>
            </w:r>
          </w:p>
        </w:tc>
        <w:tc>
          <w:tcPr>
            <w:tcW w:w="1222" w:type="dxa"/>
            <w:shd w:val="clear" w:color="auto" w:fill="E6B8B8"/>
          </w:tcPr>
          <w:p w:rsidR="00830447" w:rsidRDefault="00702574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6520.9</w:t>
            </w:r>
          </w:p>
        </w:tc>
        <w:tc>
          <w:tcPr>
            <w:tcW w:w="1223" w:type="dxa"/>
            <w:shd w:val="clear" w:color="auto" w:fill="E6B8B8"/>
          </w:tcPr>
          <w:p w:rsidR="00830447" w:rsidRDefault="00702574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7560.7</w:t>
            </w:r>
          </w:p>
        </w:tc>
        <w:tc>
          <w:tcPr>
            <w:tcW w:w="1295" w:type="dxa"/>
            <w:shd w:val="clear" w:color="auto" w:fill="E6B8B8"/>
          </w:tcPr>
          <w:p w:rsidR="00830447" w:rsidRDefault="00702574">
            <w:pPr>
              <w:pStyle w:val="TableParagraph"/>
              <w:spacing w:before="7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9232.8</w:t>
            </w:r>
          </w:p>
        </w:tc>
        <w:tc>
          <w:tcPr>
            <w:tcW w:w="1220" w:type="dxa"/>
            <w:shd w:val="clear" w:color="auto" w:fill="E6B8B8"/>
          </w:tcPr>
          <w:p w:rsidR="00830447" w:rsidRDefault="00702574">
            <w:pPr>
              <w:pStyle w:val="TableParagraph"/>
              <w:spacing w:before="104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9872.6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BA64BB" w:rsidP="00BA64BB">
            <w:pPr>
              <w:pStyle w:val="TableParagraph"/>
              <w:spacing w:before="78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Monetary base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with manat (mln. manats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ind w:right="1"/>
              <w:rPr>
                <w:sz w:val="24"/>
              </w:rPr>
            </w:pPr>
            <w:r>
              <w:rPr>
                <w:sz w:val="24"/>
              </w:rPr>
              <w:t>687.8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6397.1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ind w:right="1"/>
              <w:rPr>
                <w:sz w:val="24"/>
              </w:rPr>
            </w:pPr>
            <w:r>
              <w:rPr>
                <w:sz w:val="24"/>
              </w:rPr>
              <w:t>6901.8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ind w:right="1"/>
              <w:rPr>
                <w:sz w:val="24"/>
              </w:rPr>
            </w:pPr>
            <w:r>
              <w:rPr>
                <w:sz w:val="24"/>
              </w:rPr>
              <w:t>7860.5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4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8543.2</w:t>
            </w:r>
          </w:p>
        </w:tc>
      </w:tr>
      <w:tr w:rsidR="00830447" w:rsidTr="00FF0FAB">
        <w:trPr>
          <w:trHeight w:val="56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0C4DD9" w:rsidP="003973ED">
            <w:pPr>
              <w:pStyle w:val="TableParagraph"/>
              <w:spacing w:before="2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Monetary base with manat </w:t>
            </w:r>
            <w:r w:rsidR="00702574">
              <w:rPr>
                <w:sz w:val="24"/>
              </w:rPr>
              <w:t xml:space="preserve"> (</w:t>
            </w:r>
            <w:r w:rsidR="003973ED">
              <w:rPr>
                <w:sz w:val="24"/>
              </w:rPr>
              <w:t xml:space="preserve">the last </w:t>
            </w:r>
            <w:r w:rsidR="00863AA9">
              <w:rPr>
                <w:sz w:val="24"/>
              </w:rPr>
              <w:t xml:space="preserve">12 </w:t>
            </w:r>
            <w:r w:rsidR="003973ED">
              <w:rPr>
                <w:sz w:val="24"/>
              </w:rPr>
              <w:t>month on</w:t>
            </w:r>
            <w:r w:rsidR="003973ED">
              <w:t xml:space="preserve"> </w:t>
            </w:r>
            <w:r w:rsidR="003973ED" w:rsidRPr="003973ED">
              <w:rPr>
                <w:sz w:val="24"/>
              </w:rPr>
              <w:t>percentage statement</w:t>
            </w:r>
            <w:r w:rsidR="003973ED">
              <w:rPr>
                <w:sz w:val="24"/>
              </w:rPr>
              <w:t xml:space="preserve"> non-oil of GDP</w:t>
            </w:r>
            <w:r w:rsidR="00863AA9">
              <w:rPr>
                <w:sz w:val="24"/>
              </w:rPr>
              <w:t xml:space="preserve"> 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34.7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ind w:right="1"/>
              <w:rPr>
                <w:sz w:val="24"/>
              </w:rPr>
            </w:pPr>
            <w:r>
              <w:rPr>
                <w:sz w:val="24"/>
              </w:rPr>
              <w:t>19.9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72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19.4</w:t>
            </w:r>
          </w:p>
        </w:tc>
      </w:tr>
      <w:tr w:rsidR="00830447" w:rsidTr="00FF0FAB">
        <w:trPr>
          <w:trHeight w:val="56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0C4DD9" w:rsidP="003973ED">
            <w:pPr>
              <w:pStyle w:val="TableParagraph"/>
              <w:spacing w:before="2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Monetary base with manat</w:t>
            </w:r>
            <w:r w:rsidR="00702574">
              <w:rPr>
                <w:sz w:val="24"/>
              </w:rPr>
              <w:t xml:space="preserve"> (</w:t>
            </w:r>
            <w:r w:rsidR="00863AA9" w:rsidRPr="00863AA9">
              <w:rPr>
                <w:sz w:val="24"/>
              </w:rPr>
              <w:t>the rate of change compar</w:t>
            </w:r>
            <w:r w:rsidR="00863AA9">
              <w:rPr>
                <w:sz w:val="24"/>
              </w:rPr>
              <w:t>ed to the beginning of the year, %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31.6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-40.2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ind w:right="1"/>
              <w:rPr>
                <w:sz w:val="24"/>
              </w:rPr>
            </w:pPr>
            <w:r>
              <w:rPr>
                <w:sz w:val="24"/>
              </w:rPr>
              <w:t>13.9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72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8.7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CF3C90">
            <w:pPr>
              <w:pStyle w:val="TableParagraph"/>
              <w:spacing w:before="78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Cash in circulation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594.1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5793.2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5416.8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8"/>
              <w:ind w:right="1"/>
              <w:rPr>
                <w:sz w:val="24"/>
              </w:rPr>
            </w:pPr>
            <w:r>
              <w:rPr>
                <w:sz w:val="24"/>
              </w:rPr>
              <w:t>6960.8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4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8140.2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760FEC" w:rsidP="00BA64BB">
            <w:pPr>
              <w:pStyle w:val="TableParagraph"/>
              <w:spacing w:before="7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 w:rsidR="00BA64BB">
              <w:rPr>
                <w:sz w:val="24"/>
              </w:rPr>
              <w:t>orrespondent</w:t>
            </w:r>
            <w:r w:rsidR="00702574">
              <w:rPr>
                <w:sz w:val="24"/>
              </w:rPr>
              <w:t xml:space="preserve"> </w:t>
            </w:r>
            <w:r w:rsidR="00BA64BB">
              <w:rPr>
                <w:sz w:val="24"/>
              </w:rPr>
              <w:t>accounts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266.2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704.6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2089.8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2111.0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1554.6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CF3C90">
            <w:pPr>
              <w:pStyle w:val="TableParagraph"/>
              <w:spacing w:before="7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Mandatory reserves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25.5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20.9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47.4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147.7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141.2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8"/>
              <w:jc w:val="left"/>
              <w:rPr>
                <w:b/>
                <w:sz w:val="33"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67" w:type="dxa"/>
            <w:shd w:val="clear" w:color="auto" w:fill="E6B8B8"/>
          </w:tcPr>
          <w:p w:rsidR="00830447" w:rsidRDefault="00BA64BB">
            <w:pPr>
              <w:pStyle w:val="TableParagraph"/>
              <w:spacing w:before="79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Monetary aggregates</w:t>
            </w:r>
          </w:p>
        </w:tc>
        <w:tc>
          <w:tcPr>
            <w:tcW w:w="1222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22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23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95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20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BA64BB">
            <w:pPr>
              <w:pStyle w:val="TableParagraph"/>
              <w:spacing w:before="7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M0 (mln. manats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547.4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5455.9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4775.9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6376.9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7490.3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BA64BB">
            <w:pPr>
              <w:pStyle w:val="TableParagraph"/>
              <w:spacing w:before="7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M1 (mln. manats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747.8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6838.5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6897.2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8960.3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10544.2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BA64BB">
            <w:pPr>
              <w:pStyle w:val="TableParagraph"/>
              <w:spacing w:before="7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M2 (mln. manats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796.7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8297.6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8678.3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11546.3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12466.4</w:t>
            </w:r>
          </w:p>
        </w:tc>
      </w:tr>
      <w:tr w:rsidR="00830447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467" w:type="dxa"/>
            <w:shd w:val="clear" w:color="auto" w:fill="F1DCDB"/>
          </w:tcPr>
          <w:p w:rsidR="00830447" w:rsidRDefault="00BA64BB">
            <w:pPr>
              <w:pStyle w:val="TableParagraph"/>
              <w:spacing w:before="7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M3 (mln. manats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1841.8</w:t>
            </w:r>
          </w:p>
        </w:tc>
        <w:tc>
          <w:tcPr>
            <w:tcW w:w="1222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10527.6</w:t>
            </w:r>
          </w:p>
        </w:tc>
        <w:tc>
          <w:tcPr>
            <w:tcW w:w="1223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21286.9</w:t>
            </w:r>
          </w:p>
        </w:tc>
        <w:tc>
          <w:tcPr>
            <w:tcW w:w="1295" w:type="dxa"/>
            <w:shd w:val="clear" w:color="auto" w:fill="F1DCDB"/>
          </w:tcPr>
          <w:p w:rsidR="00830447" w:rsidRDefault="00702574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20889.6</w:t>
            </w:r>
          </w:p>
        </w:tc>
        <w:tc>
          <w:tcPr>
            <w:tcW w:w="1220" w:type="dxa"/>
            <w:shd w:val="clear" w:color="auto" w:fill="F1DCDB"/>
          </w:tcPr>
          <w:p w:rsidR="00830447" w:rsidRDefault="00702574">
            <w:pPr>
              <w:pStyle w:val="TableParagraph"/>
              <w:spacing w:before="10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22772.1</w:t>
            </w:r>
          </w:p>
        </w:tc>
      </w:tr>
      <w:tr w:rsidR="00863AA9" w:rsidTr="00FF0FAB">
        <w:trPr>
          <w:trHeight w:val="420"/>
        </w:trPr>
        <w:tc>
          <w:tcPr>
            <w:tcW w:w="1430" w:type="dxa"/>
            <w:vMerge w:val="restart"/>
            <w:shd w:val="clear" w:color="auto" w:fill="E6B8B8"/>
          </w:tcPr>
          <w:p w:rsidR="00863AA9" w:rsidRDefault="00863AA9" w:rsidP="00863AA9">
            <w:pPr>
              <w:pStyle w:val="TableParagraph"/>
              <w:jc w:val="left"/>
              <w:rPr>
                <w:b/>
                <w:sz w:val="26"/>
              </w:rPr>
            </w:pPr>
          </w:p>
          <w:p w:rsidR="00863AA9" w:rsidRDefault="00863AA9" w:rsidP="00863AA9">
            <w:pPr>
              <w:pStyle w:val="TableParagraph"/>
              <w:jc w:val="left"/>
              <w:rPr>
                <w:b/>
                <w:sz w:val="26"/>
              </w:rPr>
            </w:pPr>
          </w:p>
          <w:p w:rsidR="00863AA9" w:rsidRDefault="00863AA9" w:rsidP="00863AA9">
            <w:pPr>
              <w:pStyle w:val="TableParagraph"/>
              <w:jc w:val="left"/>
              <w:rPr>
                <w:b/>
                <w:sz w:val="26"/>
              </w:rPr>
            </w:pPr>
          </w:p>
          <w:p w:rsidR="00863AA9" w:rsidRDefault="00863AA9" w:rsidP="00863AA9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863AA9" w:rsidRDefault="00863AA9" w:rsidP="00863AA9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7" w:type="dxa"/>
            <w:shd w:val="clear" w:color="auto" w:fill="E6B8B8"/>
          </w:tcPr>
          <w:p w:rsidR="00863AA9" w:rsidRPr="00061D6C" w:rsidRDefault="00863AA9" w:rsidP="00863AA9">
            <w:r w:rsidRPr="00061D6C">
              <w:t>Reserves and exchange rate</w:t>
            </w:r>
          </w:p>
        </w:tc>
        <w:tc>
          <w:tcPr>
            <w:tcW w:w="1222" w:type="dxa"/>
            <w:shd w:val="clear" w:color="auto" w:fill="E6B8B8"/>
          </w:tcPr>
          <w:p w:rsidR="00863AA9" w:rsidRDefault="00863AA9" w:rsidP="00863AA9">
            <w:pPr>
              <w:pStyle w:val="TableParagraph"/>
              <w:jc w:val="left"/>
            </w:pPr>
          </w:p>
        </w:tc>
        <w:tc>
          <w:tcPr>
            <w:tcW w:w="1222" w:type="dxa"/>
            <w:shd w:val="clear" w:color="auto" w:fill="E6B8B8"/>
          </w:tcPr>
          <w:p w:rsidR="00863AA9" w:rsidRDefault="00863AA9" w:rsidP="00863AA9">
            <w:pPr>
              <w:pStyle w:val="TableParagraph"/>
              <w:jc w:val="left"/>
            </w:pPr>
          </w:p>
        </w:tc>
        <w:tc>
          <w:tcPr>
            <w:tcW w:w="1223" w:type="dxa"/>
            <w:shd w:val="clear" w:color="auto" w:fill="E6B8B8"/>
          </w:tcPr>
          <w:p w:rsidR="00863AA9" w:rsidRDefault="00863AA9" w:rsidP="00863AA9">
            <w:pPr>
              <w:pStyle w:val="TableParagraph"/>
              <w:jc w:val="left"/>
            </w:pPr>
          </w:p>
        </w:tc>
        <w:tc>
          <w:tcPr>
            <w:tcW w:w="1295" w:type="dxa"/>
            <w:shd w:val="clear" w:color="auto" w:fill="E6B8B8"/>
          </w:tcPr>
          <w:p w:rsidR="00863AA9" w:rsidRDefault="00863AA9" w:rsidP="00863AA9">
            <w:pPr>
              <w:pStyle w:val="TableParagraph"/>
              <w:jc w:val="left"/>
            </w:pPr>
          </w:p>
        </w:tc>
        <w:tc>
          <w:tcPr>
            <w:tcW w:w="1220" w:type="dxa"/>
            <w:shd w:val="clear" w:color="auto" w:fill="E6B8B8"/>
          </w:tcPr>
          <w:p w:rsidR="00863AA9" w:rsidRDefault="00863AA9" w:rsidP="00863AA9">
            <w:pPr>
              <w:pStyle w:val="TableParagraph"/>
              <w:jc w:val="left"/>
            </w:pPr>
          </w:p>
        </w:tc>
      </w:tr>
      <w:tr w:rsidR="00863AA9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63AA9" w:rsidRDefault="00863AA9" w:rsidP="00863AA9"/>
        </w:tc>
        <w:tc>
          <w:tcPr>
            <w:tcW w:w="5467" w:type="dxa"/>
            <w:shd w:val="clear" w:color="auto" w:fill="F1DCDB"/>
          </w:tcPr>
          <w:p w:rsidR="00863AA9" w:rsidRPr="00061D6C" w:rsidRDefault="00863AA9" w:rsidP="00863AA9">
            <w:r w:rsidRPr="00061D6C">
              <w:t>Reserves of AMB (mln. USD)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1967.3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6407.6</w:t>
            </w:r>
          </w:p>
        </w:tc>
        <w:tc>
          <w:tcPr>
            <w:tcW w:w="1223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5016.7</w:t>
            </w:r>
          </w:p>
        </w:tc>
        <w:tc>
          <w:tcPr>
            <w:tcW w:w="1295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79"/>
              <w:ind w:right="1"/>
              <w:rPr>
                <w:sz w:val="24"/>
              </w:rPr>
            </w:pPr>
            <w:r>
              <w:rPr>
                <w:sz w:val="24"/>
              </w:rPr>
              <w:t>3974.4</w:t>
            </w:r>
          </w:p>
        </w:tc>
        <w:tc>
          <w:tcPr>
            <w:tcW w:w="1220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10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5334.6</w:t>
            </w:r>
          </w:p>
        </w:tc>
      </w:tr>
      <w:tr w:rsidR="00863AA9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63AA9" w:rsidRDefault="00863AA9" w:rsidP="00863AA9"/>
        </w:tc>
        <w:tc>
          <w:tcPr>
            <w:tcW w:w="5467" w:type="dxa"/>
            <w:shd w:val="clear" w:color="auto" w:fill="F1DCDB"/>
          </w:tcPr>
          <w:p w:rsidR="00863AA9" w:rsidRPr="00061D6C" w:rsidRDefault="00863AA9" w:rsidP="00863AA9">
            <w:r w:rsidRPr="00061D6C">
              <w:t>AZN/USD official exchange rate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0.9186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0.7979</w:t>
            </w:r>
          </w:p>
        </w:tc>
        <w:tc>
          <w:tcPr>
            <w:tcW w:w="1223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1.5594</w:t>
            </w:r>
          </w:p>
        </w:tc>
        <w:tc>
          <w:tcPr>
            <w:tcW w:w="1295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ind w:right="1"/>
              <w:rPr>
                <w:sz w:val="24"/>
              </w:rPr>
            </w:pPr>
            <w:r>
              <w:rPr>
                <w:sz w:val="24"/>
              </w:rPr>
              <w:t>1.7707</w:t>
            </w:r>
          </w:p>
        </w:tc>
        <w:tc>
          <w:tcPr>
            <w:tcW w:w="1220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1.7001</w:t>
            </w:r>
          </w:p>
        </w:tc>
      </w:tr>
      <w:tr w:rsidR="00863AA9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63AA9" w:rsidRDefault="00863AA9" w:rsidP="00863AA9"/>
        </w:tc>
        <w:tc>
          <w:tcPr>
            <w:tcW w:w="5467" w:type="dxa"/>
            <w:shd w:val="clear" w:color="auto" w:fill="F1DCDB"/>
          </w:tcPr>
          <w:p w:rsidR="00863AA9" w:rsidRPr="00061D6C" w:rsidRDefault="00863AA9" w:rsidP="00863AA9">
            <w:r w:rsidRPr="00061D6C">
              <w:t>AZN/EURO official exchange rate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1.0918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1.0560</w:t>
            </w:r>
          </w:p>
        </w:tc>
        <w:tc>
          <w:tcPr>
            <w:tcW w:w="1223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1.7046</w:t>
            </w:r>
          </w:p>
        </w:tc>
        <w:tc>
          <w:tcPr>
            <w:tcW w:w="1295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ind w:right="1"/>
              <w:rPr>
                <w:sz w:val="24"/>
              </w:rPr>
            </w:pPr>
            <w:r>
              <w:rPr>
                <w:sz w:val="24"/>
              </w:rPr>
              <w:t>1.8638</w:t>
            </w:r>
          </w:p>
        </w:tc>
        <w:tc>
          <w:tcPr>
            <w:tcW w:w="1220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10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2.0307</w:t>
            </w:r>
          </w:p>
        </w:tc>
      </w:tr>
      <w:tr w:rsidR="00863AA9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63AA9" w:rsidRDefault="00863AA9" w:rsidP="00863AA9"/>
        </w:tc>
        <w:tc>
          <w:tcPr>
            <w:tcW w:w="5467" w:type="dxa"/>
            <w:shd w:val="clear" w:color="auto" w:fill="F1DCDB"/>
          </w:tcPr>
          <w:p w:rsidR="00863AA9" w:rsidRPr="00061D6C" w:rsidRDefault="00863AA9" w:rsidP="00863AA9">
            <w:r w:rsidRPr="00061D6C">
              <w:t>Real Effective exchange rate (REM) (2000=100)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85.8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127.7</w:t>
            </w:r>
          </w:p>
        </w:tc>
        <w:tc>
          <w:tcPr>
            <w:tcW w:w="1223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110.0</w:t>
            </w:r>
          </w:p>
        </w:tc>
        <w:tc>
          <w:tcPr>
            <w:tcW w:w="1295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ind w:right="1"/>
              <w:rPr>
                <w:sz w:val="24"/>
              </w:rPr>
            </w:pPr>
            <w:r>
              <w:rPr>
                <w:sz w:val="24"/>
              </w:rPr>
              <w:t>91.3</w:t>
            </w:r>
          </w:p>
        </w:tc>
        <w:tc>
          <w:tcPr>
            <w:tcW w:w="1220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10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94.2</w:t>
            </w:r>
          </w:p>
        </w:tc>
      </w:tr>
      <w:tr w:rsidR="00863AA9" w:rsidTr="00FF0FAB">
        <w:trPr>
          <w:trHeight w:val="42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63AA9" w:rsidRDefault="00863AA9" w:rsidP="00863AA9"/>
        </w:tc>
        <w:tc>
          <w:tcPr>
            <w:tcW w:w="5467" w:type="dxa"/>
            <w:shd w:val="clear" w:color="auto" w:fill="F1DCDB"/>
          </w:tcPr>
          <w:p w:rsidR="00863AA9" w:rsidRDefault="00863AA9" w:rsidP="00863AA9">
            <w:r w:rsidRPr="00061D6C">
              <w:t>On non-oil sector  REM (2000=100)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81.4</w:t>
            </w:r>
          </w:p>
        </w:tc>
        <w:tc>
          <w:tcPr>
            <w:tcW w:w="1222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115.3</w:t>
            </w:r>
          </w:p>
        </w:tc>
        <w:tc>
          <w:tcPr>
            <w:tcW w:w="1223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107.6</w:t>
            </w:r>
          </w:p>
        </w:tc>
        <w:tc>
          <w:tcPr>
            <w:tcW w:w="1295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80"/>
              <w:ind w:right="1"/>
              <w:rPr>
                <w:sz w:val="24"/>
              </w:rPr>
            </w:pPr>
            <w:r>
              <w:rPr>
                <w:sz w:val="24"/>
              </w:rPr>
              <w:t>86.3</w:t>
            </w:r>
          </w:p>
        </w:tc>
        <w:tc>
          <w:tcPr>
            <w:tcW w:w="1220" w:type="dxa"/>
            <w:shd w:val="clear" w:color="auto" w:fill="F1DCDB"/>
          </w:tcPr>
          <w:p w:rsidR="00863AA9" w:rsidRDefault="00863AA9" w:rsidP="00863AA9">
            <w:pPr>
              <w:pStyle w:val="TableParagraph"/>
              <w:spacing w:before="10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89.8</w:t>
            </w:r>
          </w:p>
        </w:tc>
      </w:tr>
    </w:tbl>
    <w:p w:rsidR="00830447" w:rsidRDefault="00830447">
      <w:pPr>
        <w:rPr>
          <w:rFonts w:ascii="Arial"/>
          <w:sz w:val="20"/>
        </w:rPr>
        <w:sectPr w:rsidR="00830447">
          <w:pgSz w:w="14400" w:h="10800" w:orient="landscape"/>
          <w:pgMar w:top="820" w:right="480" w:bottom="560" w:left="600" w:header="0" w:footer="365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537"/>
        <w:gridCol w:w="1326"/>
        <w:gridCol w:w="1326"/>
        <w:gridCol w:w="1326"/>
        <w:gridCol w:w="1346"/>
        <w:gridCol w:w="1148"/>
      </w:tblGrid>
      <w:tr w:rsidR="00830447" w:rsidTr="000C4DD9">
        <w:trPr>
          <w:trHeight w:val="700"/>
        </w:trPr>
        <w:tc>
          <w:tcPr>
            <w:tcW w:w="1430" w:type="dxa"/>
            <w:shd w:val="clear" w:color="auto" w:fill="E6B8B8"/>
          </w:tcPr>
          <w:p w:rsidR="00830447" w:rsidRPr="00103E57" w:rsidRDefault="000C4DD9">
            <w:pPr>
              <w:pStyle w:val="TableParagraph"/>
              <w:spacing w:before="222"/>
              <w:ind w:left="231" w:right="231"/>
              <w:jc w:val="center"/>
              <w:rPr>
                <w:b/>
                <w:sz w:val="24"/>
                <w:lang w:val="az-Latn-AZ"/>
              </w:rPr>
            </w:pPr>
            <w:r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5537" w:type="dxa"/>
            <w:shd w:val="clear" w:color="auto" w:fill="E6B8B8"/>
          </w:tcPr>
          <w:p w:rsidR="00830447" w:rsidRPr="00CA0079" w:rsidRDefault="003009B3" w:rsidP="003009B3">
            <w:pPr>
              <w:pStyle w:val="TableParagraph"/>
              <w:spacing w:before="222"/>
              <w:ind w:left="696"/>
              <w:jc w:val="left"/>
              <w:rPr>
                <w:b/>
                <w:sz w:val="24"/>
                <w:lang w:val="az-Latn-AZ"/>
              </w:rPr>
            </w:pPr>
            <w:r>
              <w:rPr>
                <w:b/>
                <w:sz w:val="24"/>
                <w:lang w:val="az-Latn-AZ"/>
              </w:rPr>
              <w:t>Structure</w:t>
            </w:r>
            <w:r w:rsidR="00702574" w:rsidRPr="00CA0079">
              <w:rPr>
                <w:b/>
                <w:sz w:val="24"/>
                <w:lang w:val="az-Latn-AZ"/>
              </w:rPr>
              <w:t xml:space="preserve"> </w:t>
            </w:r>
            <w:r>
              <w:rPr>
                <w:b/>
                <w:sz w:val="24"/>
                <w:lang w:val="az-Latn-AZ"/>
              </w:rPr>
              <w:t>and</w:t>
            </w:r>
            <w:r w:rsidR="00702574" w:rsidRPr="00CA0079">
              <w:rPr>
                <w:b/>
                <w:sz w:val="24"/>
                <w:lang w:val="az-Latn-AZ"/>
              </w:rPr>
              <w:t xml:space="preserve"> </w:t>
            </w:r>
            <w:r>
              <w:rPr>
                <w:b/>
                <w:sz w:val="24"/>
                <w:lang w:val="az-Latn-AZ"/>
              </w:rPr>
              <w:t>service network of bank market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222"/>
              <w:ind w:left="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222"/>
              <w:ind w:left="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222"/>
              <w:ind w:left="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346" w:type="dxa"/>
            <w:shd w:val="clear" w:color="auto" w:fill="E6B8B8"/>
          </w:tcPr>
          <w:p w:rsidR="00830447" w:rsidRDefault="00702574">
            <w:pPr>
              <w:pStyle w:val="TableParagraph"/>
              <w:spacing w:before="222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148" w:type="dxa"/>
            <w:shd w:val="clear" w:color="auto" w:fill="E6B8B8"/>
          </w:tcPr>
          <w:p w:rsidR="00830447" w:rsidRDefault="00830447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left="34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70257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37" w:type="dxa"/>
            <w:shd w:val="clear" w:color="auto" w:fill="E6B8B8"/>
          </w:tcPr>
          <w:p w:rsidR="00830447" w:rsidRDefault="000C4DD9">
            <w:pPr>
              <w:pStyle w:val="TableParagraph"/>
              <w:spacing w:before="113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banks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13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346" w:type="dxa"/>
            <w:shd w:val="clear" w:color="auto" w:fill="E6B8B8"/>
          </w:tcPr>
          <w:p w:rsidR="00830447" w:rsidRDefault="00702574">
            <w:pPr>
              <w:pStyle w:val="TableParagraph"/>
              <w:spacing w:before="113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48" w:type="dxa"/>
            <w:shd w:val="clear" w:color="auto" w:fill="E6B8B8"/>
          </w:tcPr>
          <w:p w:rsidR="00830447" w:rsidRDefault="00702574">
            <w:pPr>
              <w:pStyle w:val="TableParagraph"/>
              <w:spacing w:before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760FEC" w:rsidP="00760FEC">
            <w:pPr>
              <w:pStyle w:val="TableParagraph"/>
              <w:spacing w:before="113"/>
              <w:ind w:left="184"/>
              <w:jc w:val="left"/>
              <w:rPr>
                <w:sz w:val="24"/>
              </w:rPr>
            </w:pPr>
            <w:r w:rsidRPr="00760FEC">
              <w:rPr>
                <w:sz w:val="24"/>
              </w:rPr>
              <w:t xml:space="preserve">Number of getting license banks </w:t>
            </w:r>
            <w:r w:rsidR="0050450C">
              <w:rPr>
                <w:sz w:val="24"/>
              </w:rPr>
              <w:t>from the beginning of the year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3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50450C">
            <w:pPr>
              <w:pStyle w:val="TableParagraph"/>
              <w:spacing w:before="113"/>
              <w:ind w:left="184"/>
              <w:jc w:val="left"/>
              <w:rPr>
                <w:sz w:val="24"/>
              </w:rPr>
            </w:pPr>
            <w:r w:rsidRPr="0050450C">
              <w:rPr>
                <w:sz w:val="24"/>
              </w:rPr>
              <w:t>Number of banks whose license has been canceled</w:t>
            </w:r>
            <w:r>
              <w:rPr>
                <w:sz w:val="24"/>
              </w:rPr>
              <w:t xml:space="preserve"> </w:t>
            </w:r>
            <w:r w:rsidRPr="0050450C">
              <w:rPr>
                <w:sz w:val="24"/>
              </w:rPr>
              <w:t>from the beginning of the year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ind w:right="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3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604AE9">
            <w:pPr>
              <w:pStyle w:val="TableParagraph"/>
              <w:spacing w:before="113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 w:rsidR="0050450C">
              <w:rPr>
                <w:sz w:val="24"/>
              </w:rPr>
              <w:t>umber of state banks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3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863AA9">
            <w:pPr>
              <w:pStyle w:val="TableParagraph"/>
              <w:spacing w:before="114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Number of private</w:t>
            </w:r>
            <w:r w:rsidR="0050450C">
              <w:rPr>
                <w:sz w:val="24"/>
              </w:rPr>
              <w:t xml:space="preserve"> banks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604AE9" w:rsidP="00604AE9">
            <w:pPr>
              <w:pStyle w:val="TableParagraph"/>
              <w:spacing w:before="1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Number of external capital banks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 w:rsidR="00830447" w:rsidTr="000C4DD9">
        <w:trPr>
          <w:trHeight w:val="56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0D7660">
            <w:pPr>
              <w:pStyle w:val="TableParagraph"/>
              <w:spacing w:before="11"/>
              <w:ind w:left="4"/>
              <w:jc w:val="left"/>
              <w:rPr>
                <w:sz w:val="24"/>
              </w:rPr>
            </w:pPr>
            <w:r w:rsidRPr="000D7660">
              <w:rPr>
                <w:sz w:val="24"/>
              </w:rPr>
              <w:t>Authorized capital of the banks which has more than 50% of exterior capital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48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48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73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0D7660">
            <w:pPr>
              <w:pStyle w:val="TableParagraph"/>
              <w:spacing w:before="114"/>
              <w:ind w:left="484"/>
              <w:jc w:val="left"/>
              <w:rPr>
                <w:sz w:val="24"/>
              </w:rPr>
            </w:pPr>
            <w:r w:rsidRPr="000D7660">
              <w:rPr>
                <w:sz w:val="24"/>
              </w:rPr>
              <w:t>also local branch of exterior banks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</w:tr>
      <w:tr w:rsidR="00830447" w:rsidTr="000C4DD9">
        <w:trPr>
          <w:trHeight w:val="56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0D7660">
            <w:pPr>
              <w:pStyle w:val="TableParagraph"/>
              <w:spacing w:before="12"/>
              <w:ind w:left="4"/>
              <w:jc w:val="left"/>
              <w:rPr>
                <w:sz w:val="24"/>
              </w:rPr>
            </w:pPr>
            <w:r w:rsidRPr="000D7660">
              <w:rPr>
                <w:sz w:val="24"/>
              </w:rPr>
              <w:t>Authorized capital of the banks which has about than 50% of exterior capital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49"/>
              <w:ind w:righ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49"/>
              <w:ind w:right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49"/>
              <w:ind w:righ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74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6"/>
              </w:rPr>
            </w:pPr>
          </w:p>
          <w:p w:rsidR="00830447" w:rsidRDefault="00830447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37" w:type="dxa"/>
            <w:shd w:val="clear" w:color="auto" w:fill="E6B8B8"/>
          </w:tcPr>
          <w:p w:rsidR="00830447" w:rsidRPr="000D7660" w:rsidRDefault="000D7660">
            <w:pPr>
              <w:pStyle w:val="TableParagraph"/>
              <w:spacing w:before="114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Service network of banks</w:t>
            </w:r>
          </w:p>
        </w:tc>
        <w:tc>
          <w:tcPr>
            <w:tcW w:w="1326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326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326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346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148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0D7660">
            <w:pPr>
              <w:pStyle w:val="TableParagraph"/>
              <w:spacing w:before="114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Number of banks branches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1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2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509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EC0370">
            <w:pPr>
              <w:pStyle w:val="TableParagraph"/>
              <w:spacing w:before="114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Number of bank depart</w:t>
            </w:r>
            <w:r w:rsidR="000D7660">
              <w:rPr>
                <w:sz w:val="24"/>
              </w:rPr>
              <w:t>ments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4"/>
              <w:ind w:right="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0D7660">
            <w:pPr>
              <w:pStyle w:val="TableParagraph"/>
              <w:spacing w:before="115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Number of ATM-s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ind w:right="1"/>
              <w:rPr>
                <w:sz w:val="24"/>
              </w:rPr>
            </w:pPr>
            <w:r>
              <w:rPr>
                <w:sz w:val="24"/>
              </w:rPr>
              <w:t>2694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ind w:right="2"/>
              <w:rPr>
                <w:sz w:val="24"/>
              </w:rPr>
            </w:pPr>
            <w:r>
              <w:rPr>
                <w:sz w:val="24"/>
              </w:rPr>
              <w:t>2454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2431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5537" w:type="dxa"/>
            <w:shd w:val="clear" w:color="auto" w:fill="F1DCDB"/>
          </w:tcPr>
          <w:p w:rsidR="00830447" w:rsidRDefault="000D7660" w:rsidP="000D7660">
            <w:pPr>
              <w:pStyle w:val="TableParagraph"/>
              <w:spacing w:before="115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Number of </w:t>
            </w:r>
            <w:r w:rsidR="00702574">
              <w:rPr>
                <w:sz w:val="24"/>
              </w:rPr>
              <w:t>POS Terminal</w:t>
            </w:r>
            <w:r>
              <w:rPr>
                <w:sz w:val="24"/>
              </w:rPr>
              <w:t>s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7872</w:t>
            </w:r>
          </w:p>
        </w:tc>
        <w:tc>
          <w:tcPr>
            <w:tcW w:w="132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ind w:right="1"/>
              <w:rPr>
                <w:sz w:val="24"/>
              </w:rPr>
            </w:pPr>
            <w:r>
              <w:rPr>
                <w:sz w:val="24"/>
              </w:rPr>
              <w:t>80301</w:t>
            </w:r>
          </w:p>
        </w:tc>
        <w:tc>
          <w:tcPr>
            <w:tcW w:w="1346" w:type="dxa"/>
            <w:shd w:val="clear" w:color="auto" w:fill="F1DCDB"/>
          </w:tcPr>
          <w:p w:rsidR="00830447" w:rsidRDefault="00702574">
            <w:pPr>
              <w:pStyle w:val="TableParagraph"/>
              <w:spacing w:before="115"/>
              <w:ind w:right="2"/>
              <w:rPr>
                <w:sz w:val="24"/>
              </w:rPr>
            </w:pPr>
            <w:r>
              <w:rPr>
                <w:sz w:val="24"/>
              </w:rPr>
              <w:t>71806</w:t>
            </w:r>
          </w:p>
        </w:tc>
        <w:tc>
          <w:tcPr>
            <w:tcW w:w="1148" w:type="dxa"/>
            <w:shd w:val="clear" w:color="auto" w:fill="F1DCDB"/>
          </w:tcPr>
          <w:p w:rsidR="00830447" w:rsidRDefault="00702574">
            <w:pPr>
              <w:pStyle w:val="TableParagraph"/>
              <w:spacing w:before="140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</w:tr>
      <w:tr w:rsidR="00830447" w:rsidTr="000C4DD9">
        <w:trPr>
          <w:trHeight w:val="500"/>
        </w:trPr>
        <w:tc>
          <w:tcPr>
            <w:tcW w:w="1430" w:type="dxa"/>
            <w:shd w:val="clear" w:color="auto" w:fill="E6B8B8"/>
          </w:tcPr>
          <w:p w:rsidR="00830447" w:rsidRDefault="00702574">
            <w:pPr>
              <w:pStyle w:val="TableParagraph"/>
              <w:spacing w:before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37" w:type="dxa"/>
            <w:shd w:val="clear" w:color="auto" w:fill="E6B8B8"/>
          </w:tcPr>
          <w:p w:rsidR="00830447" w:rsidRDefault="000D7660">
            <w:pPr>
              <w:pStyle w:val="TableParagraph"/>
              <w:spacing w:before="115"/>
              <w:ind w:left="4"/>
              <w:jc w:val="left"/>
              <w:rPr>
                <w:b/>
                <w:sz w:val="24"/>
              </w:rPr>
            </w:pPr>
            <w:r w:rsidRPr="000D7660">
              <w:rPr>
                <w:b/>
                <w:sz w:val="24"/>
              </w:rPr>
              <w:t>Number of employees in bank sector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m/y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m/y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m/y</w:t>
            </w:r>
          </w:p>
        </w:tc>
        <w:tc>
          <w:tcPr>
            <w:tcW w:w="1346" w:type="dxa"/>
            <w:shd w:val="clear" w:color="auto" w:fill="E6B8B8"/>
          </w:tcPr>
          <w:p w:rsidR="00830447" w:rsidRDefault="00702574">
            <w:pPr>
              <w:pStyle w:val="TableParagraph"/>
              <w:spacing w:before="11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16947</w:t>
            </w:r>
          </w:p>
        </w:tc>
        <w:tc>
          <w:tcPr>
            <w:tcW w:w="1148" w:type="dxa"/>
            <w:shd w:val="clear" w:color="auto" w:fill="E6B8B8"/>
          </w:tcPr>
          <w:p w:rsidR="00830447" w:rsidRDefault="00702574">
            <w:pPr>
              <w:pStyle w:val="TableParagraph"/>
              <w:spacing w:before="14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16171</w:t>
            </w:r>
          </w:p>
        </w:tc>
      </w:tr>
      <w:tr w:rsidR="00830447" w:rsidTr="000C4DD9">
        <w:trPr>
          <w:trHeight w:val="540"/>
        </w:trPr>
        <w:tc>
          <w:tcPr>
            <w:tcW w:w="1430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37" w:type="dxa"/>
            <w:shd w:val="clear" w:color="auto" w:fill="E6B8B8"/>
          </w:tcPr>
          <w:p w:rsidR="00830447" w:rsidRPr="00DE4099" w:rsidRDefault="000D7660">
            <w:pPr>
              <w:pStyle w:val="TableParagraph"/>
              <w:spacing w:before="137"/>
              <w:ind w:left="4"/>
              <w:jc w:val="left"/>
              <w:rPr>
                <w:b/>
                <w:sz w:val="24"/>
                <w:lang w:val="az-Latn-AZ"/>
              </w:rPr>
            </w:pPr>
            <w:r w:rsidRPr="000D7660">
              <w:rPr>
                <w:b/>
                <w:sz w:val="24"/>
              </w:rPr>
              <w:t>N</w:t>
            </w:r>
            <w:r w:rsidR="00DE4099">
              <w:rPr>
                <w:b/>
                <w:sz w:val="24"/>
              </w:rPr>
              <w:t>umber of non-bank credit organiza</w:t>
            </w:r>
            <w:r w:rsidRPr="000D7660">
              <w:rPr>
                <w:b/>
                <w:sz w:val="24"/>
              </w:rPr>
              <w:t>tions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326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  <w:tc>
          <w:tcPr>
            <w:tcW w:w="1346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148" w:type="dxa"/>
            <w:shd w:val="clear" w:color="auto" w:fill="E6B8B8"/>
          </w:tcPr>
          <w:p w:rsidR="00830447" w:rsidRDefault="00702574">
            <w:pPr>
              <w:pStyle w:val="TableParagraph"/>
              <w:spacing w:before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</w:tr>
    </w:tbl>
    <w:p w:rsidR="00830447" w:rsidRDefault="00830447">
      <w:pPr>
        <w:rPr>
          <w:rFonts w:ascii="Arial"/>
          <w:sz w:val="20"/>
        </w:rPr>
        <w:sectPr w:rsidR="00830447">
          <w:pgSz w:w="14400" w:h="10800" w:orient="landscape"/>
          <w:pgMar w:top="580" w:right="360" w:bottom="560" w:left="360" w:header="0" w:footer="365" w:gutter="0"/>
          <w:cols w:space="720"/>
        </w:sectPr>
      </w:pPr>
    </w:p>
    <w:tbl>
      <w:tblPr>
        <w:tblW w:w="0" w:type="auto"/>
        <w:tblInd w:w="-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6374"/>
        <w:gridCol w:w="1137"/>
        <w:gridCol w:w="1137"/>
        <w:gridCol w:w="1137"/>
        <w:gridCol w:w="1154"/>
        <w:gridCol w:w="1131"/>
      </w:tblGrid>
      <w:tr w:rsidR="00830447" w:rsidTr="00EF7FEC">
        <w:trPr>
          <w:trHeight w:val="520"/>
        </w:trPr>
        <w:tc>
          <w:tcPr>
            <w:tcW w:w="1350" w:type="dxa"/>
            <w:shd w:val="clear" w:color="auto" w:fill="E6B8B8"/>
          </w:tcPr>
          <w:p w:rsidR="00830447" w:rsidRDefault="00DE4099">
            <w:pPr>
              <w:pStyle w:val="TableParagraph"/>
              <w:spacing w:before="133"/>
              <w:ind w:left="200"/>
              <w:jc w:val="left"/>
              <w:rPr>
                <w:b/>
              </w:rPr>
            </w:pPr>
            <w:r>
              <w:rPr>
                <w:b/>
              </w:rPr>
              <w:lastRenderedPageBreak/>
              <w:t>Number</w:t>
            </w:r>
          </w:p>
        </w:tc>
        <w:tc>
          <w:tcPr>
            <w:tcW w:w="6374" w:type="dxa"/>
            <w:shd w:val="clear" w:color="auto" w:fill="E6B8B8"/>
          </w:tcPr>
          <w:p w:rsidR="00830447" w:rsidRDefault="00DE4099" w:rsidP="00DE4099">
            <w:pPr>
              <w:pStyle w:val="TableParagraph"/>
              <w:spacing w:before="133"/>
              <w:ind w:left="1596"/>
              <w:jc w:val="left"/>
              <w:rPr>
                <w:b/>
              </w:rPr>
            </w:pPr>
            <w:r>
              <w:rPr>
                <w:b/>
              </w:rPr>
              <w:t>Basic indicators of bank sector</w:t>
            </w:r>
            <w:r w:rsidR="00702574">
              <w:rPr>
                <w:b/>
              </w:rPr>
              <w:t xml:space="preserve"> 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33"/>
              <w:ind w:left="338"/>
              <w:jc w:val="lef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33"/>
              <w:ind w:left="338"/>
              <w:jc w:val="left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33"/>
              <w:ind w:left="338"/>
              <w:jc w:val="left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4" w:type="dxa"/>
            <w:shd w:val="clear" w:color="auto" w:fill="E6B8B8"/>
          </w:tcPr>
          <w:p w:rsidR="00830447" w:rsidRDefault="00702574">
            <w:pPr>
              <w:pStyle w:val="TableParagraph"/>
              <w:spacing w:before="133"/>
              <w:ind w:left="347"/>
              <w:jc w:val="left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31" w:type="dxa"/>
            <w:shd w:val="clear" w:color="auto" w:fill="E6B8B8"/>
          </w:tcPr>
          <w:p w:rsidR="00830447" w:rsidRDefault="00702574">
            <w:pPr>
              <w:pStyle w:val="TableParagraph"/>
              <w:spacing w:before="147"/>
              <w:ind w:left="33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702574">
            <w:pPr>
              <w:pStyle w:val="TableParagraph"/>
              <w:spacing w:before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4" w:type="dxa"/>
            <w:shd w:val="clear" w:color="auto" w:fill="E6B8B8"/>
          </w:tcPr>
          <w:p w:rsidR="00830447" w:rsidRDefault="002454D4">
            <w:pPr>
              <w:pStyle w:val="TableParagraph"/>
              <w:spacing w:line="252" w:lineRule="exact"/>
              <w:ind w:left="-2"/>
              <w:jc w:val="left"/>
              <w:rPr>
                <w:b/>
              </w:rPr>
            </w:pPr>
            <w:r>
              <w:rPr>
                <w:b/>
              </w:rPr>
              <w:t>Assets</w:t>
            </w:r>
            <w:r w:rsidR="00702574">
              <w:rPr>
                <w:b/>
              </w:rPr>
              <w:t xml:space="preserve"> (mln. AZN)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2252.0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13290.8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34906.0</w:t>
            </w:r>
          </w:p>
        </w:tc>
        <w:tc>
          <w:tcPr>
            <w:tcW w:w="1154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31439.5</w:t>
            </w:r>
          </w:p>
        </w:tc>
        <w:tc>
          <w:tcPr>
            <w:tcW w:w="1131" w:type="dxa"/>
            <w:shd w:val="clear" w:color="auto" w:fill="E6B8B8"/>
          </w:tcPr>
          <w:p w:rsidR="00830447" w:rsidRDefault="00702574">
            <w:pPr>
              <w:pStyle w:val="TableParagraph"/>
              <w:spacing w:before="13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27921.0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702574" w:rsidP="00EF7FEC">
            <w:pPr>
              <w:pStyle w:val="TableParagraph"/>
              <w:spacing w:line="252" w:lineRule="exact"/>
              <w:ind w:left="164"/>
              <w:jc w:val="left"/>
            </w:pPr>
            <w:r>
              <w:t>A</w:t>
            </w:r>
            <w:r w:rsidR="002454D4">
              <w:t>ssets</w:t>
            </w:r>
            <w:r>
              <w:t xml:space="preserve"> (</w:t>
            </w:r>
            <w:r w:rsidR="00EF7FEC">
              <w:t>the last</w:t>
            </w:r>
            <w:r>
              <w:t xml:space="preserve"> 12 </w:t>
            </w:r>
            <w:r w:rsidR="00EF7FEC">
              <w:t>month</w:t>
            </w:r>
            <w:r>
              <w:t xml:space="preserve"> </w:t>
            </w:r>
            <w:r w:rsidR="00EF7FEC">
              <w:t>non-oil GPD ,%</w:t>
            </w:r>
            <w:r>
              <w:t>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37.2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72.1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92.7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87.5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63.4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4" w:type="dxa"/>
            <w:shd w:val="clear" w:color="auto" w:fill="E6B8B8"/>
          </w:tcPr>
          <w:p w:rsidR="00830447" w:rsidRDefault="0089229E" w:rsidP="0089229E">
            <w:pPr>
              <w:pStyle w:val="TableParagraph"/>
              <w:spacing w:line="252" w:lineRule="exact"/>
              <w:ind w:left="-2"/>
              <w:jc w:val="left"/>
              <w:rPr>
                <w:b/>
              </w:rPr>
            </w:pPr>
            <w:r>
              <w:rPr>
                <w:b/>
              </w:rPr>
              <w:t>Total  c</w:t>
            </w:r>
            <w:r w:rsidR="00702574">
              <w:rPr>
                <w:b/>
              </w:rPr>
              <w:t xml:space="preserve">redit </w:t>
            </w:r>
            <w:r>
              <w:rPr>
                <w:b/>
              </w:rPr>
              <w:t>investments to economy</w:t>
            </w:r>
            <w:r w:rsidR="00702574">
              <w:rPr>
                <w:b/>
              </w:rPr>
              <w:t xml:space="preserve"> (mln. AZN)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1441.0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9163.4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21730.4</w:t>
            </w:r>
          </w:p>
        </w:tc>
        <w:tc>
          <w:tcPr>
            <w:tcW w:w="1154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16444.6</w:t>
            </w:r>
          </w:p>
        </w:tc>
        <w:tc>
          <w:tcPr>
            <w:tcW w:w="1131" w:type="dxa"/>
            <w:shd w:val="clear" w:color="auto" w:fill="E6B8B8"/>
          </w:tcPr>
          <w:p w:rsidR="00830447" w:rsidRDefault="00702574">
            <w:pPr>
              <w:pStyle w:val="TableParagraph"/>
              <w:spacing w:before="13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11757.8</w:t>
            </w:r>
          </w:p>
        </w:tc>
      </w:tr>
      <w:tr w:rsidR="00830447" w:rsidTr="00EF7FEC">
        <w:trPr>
          <w:trHeight w:val="5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5B4521">
            <w:pPr>
              <w:pStyle w:val="TableParagraph"/>
              <w:spacing w:before="11" w:line="252" w:lineRule="exact"/>
              <w:ind w:left="-2"/>
              <w:jc w:val="left"/>
            </w:pPr>
            <w:r>
              <w:t xml:space="preserve">Total  </w:t>
            </w:r>
            <w:r w:rsidR="0089229E">
              <w:t xml:space="preserve"> </w:t>
            </w:r>
            <w:r>
              <w:t>c</w:t>
            </w:r>
            <w:r w:rsidR="00702574">
              <w:t xml:space="preserve">redit </w:t>
            </w:r>
            <w:r>
              <w:t>investments</w:t>
            </w:r>
            <w:r w:rsidR="00702574">
              <w:t xml:space="preserve"> (</w:t>
            </w:r>
            <w:r w:rsidR="00EF7FEC" w:rsidRPr="00EF7FEC">
              <w:t>the last 12 month non-oil GPD ,%)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23.8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49.7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57.7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45.8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5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26.7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89229E" w:rsidP="0089229E">
            <w:pPr>
              <w:pStyle w:val="TableParagraph"/>
              <w:spacing w:line="252" w:lineRule="exact"/>
              <w:ind w:left="164"/>
              <w:jc w:val="left"/>
            </w:pPr>
            <w:r>
              <w:t>Overdue</w:t>
            </w:r>
            <w:r w:rsidR="00702574">
              <w:t xml:space="preserve"> </w:t>
            </w:r>
            <w:r>
              <w:t>loans</w:t>
            </w:r>
            <w:r w:rsidR="00702574">
              <w:t xml:space="preserve"> (mln.AZN)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68.2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492.9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1508.5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1472.6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1626.7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89229E">
            <w:pPr>
              <w:pStyle w:val="TableParagraph"/>
              <w:spacing w:line="252" w:lineRule="exact"/>
              <w:ind w:left="164"/>
              <w:jc w:val="left"/>
            </w:pPr>
            <w:r>
              <w:t>Overdue loans</w:t>
            </w:r>
            <w:r w:rsidR="00702574">
              <w:t xml:space="preserve"> (%)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4.7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5.4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6.9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9.0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13.8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08643A">
            <w:pPr>
              <w:pStyle w:val="TableParagraph"/>
              <w:spacing w:line="252" w:lineRule="exact"/>
              <w:ind w:left="164"/>
              <w:jc w:val="left"/>
            </w:pPr>
            <w:r w:rsidRPr="0008643A">
              <w:t xml:space="preserve">Aggregate loan portfolio of the banking sector </w:t>
            </w:r>
            <w:r w:rsidR="00702574">
              <w:t>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1401.4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8971.8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21152.0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15971.2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11337.6</w:t>
            </w:r>
          </w:p>
        </w:tc>
      </w:tr>
      <w:tr w:rsidR="00830447" w:rsidTr="00EF7FEC">
        <w:trPr>
          <w:trHeight w:val="5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08643A">
            <w:pPr>
              <w:pStyle w:val="TableParagraph"/>
              <w:ind w:left="164"/>
              <w:jc w:val="left"/>
            </w:pPr>
            <w:r>
              <w:t>Aggregate loan portfolio of non-</w:t>
            </w:r>
            <w:r w:rsidR="00702574">
              <w:t xml:space="preserve">bank </w:t>
            </w:r>
            <w:r>
              <w:t>financial</w:t>
            </w:r>
            <w:r w:rsidR="00702574">
              <w:t xml:space="preserve"> </w:t>
            </w:r>
            <w:r>
              <w:t xml:space="preserve">organizations </w:t>
            </w:r>
            <w:r w:rsidR="00702574">
              <w:t xml:space="preserve">(BOKT) </w:t>
            </w:r>
          </w:p>
          <w:p w:rsidR="00830447" w:rsidRDefault="00702574">
            <w:pPr>
              <w:pStyle w:val="TableParagraph"/>
              <w:spacing w:before="11" w:line="252" w:lineRule="exact"/>
              <w:ind w:left="-2"/>
              <w:jc w:val="left"/>
            </w:pPr>
            <w:r>
              <w:t>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39.6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191.6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578.4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32"/>
              <w:ind w:right="-4"/>
            </w:pPr>
            <w:r>
              <w:t>473.4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6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420.2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4D0E9D">
            <w:pPr>
              <w:pStyle w:val="TableParagraph"/>
              <w:spacing w:line="252" w:lineRule="exact"/>
              <w:ind w:left="-2"/>
              <w:jc w:val="left"/>
            </w:pPr>
            <w:r>
              <w:t>Credit investments in national currency</w:t>
            </w:r>
            <w:r w:rsidR="00702574">
              <w:t xml:space="preserve"> 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542.9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5865.3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10994.5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8663.1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6953.6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4D0E9D" w:rsidP="004D0E9D">
            <w:pPr>
              <w:pStyle w:val="TableParagraph"/>
              <w:spacing w:line="252" w:lineRule="exact"/>
              <w:jc w:val="left"/>
            </w:pPr>
            <w:r>
              <w:t>C</w:t>
            </w:r>
            <w:r w:rsidR="00702574">
              <w:t xml:space="preserve">redit </w:t>
            </w:r>
            <w:r>
              <w:t>investments in foreign currency</w:t>
            </w:r>
            <w:r w:rsidR="00702574">
              <w:t xml:space="preserve"> 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898.1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3298.1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10735.9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7781.4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4804.2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4D0E9D">
            <w:pPr>
              <w:pStyle w:val="TableParagraph"/>
              <w:spacing w:line="252" w:lineRule="exact"/>
              <w:ind w:left="164"/>
              <w:jc w:val="left"/>
            </w:pPr>
            <w:r>
              <w:t>Credit investments in foreign currency</w:t>
            </w:r>
            <w:r w:rsidR="00702574">
              <w:t xml:space="preserve"> (mln.USD)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977.7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4133.5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6884.6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4394.5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2825.8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4D0E9D">
            <w:pPr>
              <w:pStyle w:val="TableParagraph"/>
              <w:spacing w:line="252" w:lineRule="exact"/>
              <w:ind w:left="164"/>
              <w:jc w:val="left"/>
            </w:pPr>
            <w:r>
              <w:t xml:space="preserve">Credit dollarization </w:t>
            </w:r>
            <w:r w:rsidR="00EF7FEC">
              <w:t xml:space="preserve"> (% </w:t>
            </w:r>
            <w:r w:rsidR="00702574">
              <w:t>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62.3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36.0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49.4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47.3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40.9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702574">
            <w:pPr>
              <w:pStyle w:val="TableParagraph"/>
              <w:spacing w:before="13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4" w:type="dxa"/>
            <w:shd w:val="clear" w:color="auto" w:fill="E6B8B8"/>
          </w:tcPr>
          <w:p w:rsidR="00830447" w:rsidRDefault="00A835CE">
            <w:pPr>
              <w:pStyle w:val="TableParagraph"/>
              <w:spacing w:before="1" w:line="251" w:lineRule="exact"/>
              <w:ind w:left="-2"/>
              <w:jc w:val="left"/>
              <w:rPr>
                <w:b/>
              </w:rPr>
            </w:pPr>
            <w:r>
              <w:rPr>
                <w:b/>
              </w:rPr>
              <w:t>Total c</w:t>
            </w:r>
            <w:r w:rsidR="00702574">
              <w:rPr>
                <w:b/>
              </w:rPr>
              <w:t xml:space="preserve">apital </w:t>
            </w:r>
            <w:r w:rsidR="00EC0370" w:rsidRPr="00EC0370">
              <w:rPr>
                <w:b/>
              </w:rPr>
              <w:t>(* - marked with periods without IBA)</w:t>
            </w:r>
            <w:bookmarkStart w:id="0" w:name="_GoBack"/>
            <w:bookmarkEnd w:id="0"/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388.3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1897.1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3654.0</w:t>
            </w:r>
          </w:p>
        </w:tc>
        <w:tc>
          <w:tcPr>
            <w:tcW w:w="1154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2438.0</w:t>
            </w:r>
          </w:p>
        </w:tc>
        <w:tc>
          <w:tcPr>
            <w:tcW w:w="1131" w:type="dxa"/>
            <w:shd w:val="clear" w:color="auto" w:fill="E6B8B8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3709.2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5B4521">
            <w:pPr>
              <w:pStyle w:val="TableParagraph"/>
              <w:spacing w:line="252" w:lineRule="exact"/>
              <w:ind w:left="164"/>
              <w:jc w:val="left"/>
            </w:pPr>
            <w:r>
              <w:t>Total c</w:t>
            </w:r>
            <w:r w:rsidR="00702574">
              <w:t xml:space="preserve">apital </w:t>
            </w:r>
            <w:r w:rsidR="00EF7FEC" w:rsidRPr="00EF7FEC">
              <w:t>(the last 12 month non-oil GPD ,%)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6.4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10.3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9.7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6.8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8.4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jc w:val="left"/>
              <w:rPr>
                <w:b/>
                <w:sz w:val="24"/>
              </w:rPr>
            </w:pPr>
          </w:p>
          <w:p w:rsidR="00830447" w:rsidRDefault="00830447">
            <w:pPr>
              <w:pStyle w:val="TableParagraph"/>
              <w:spacing w:before="2"/>
              <w:jc w:val="left"/>
              <w:rPr>
                <w:b/>
                <w:sz w:val="34"/>
              </w:rPr>
            </w:pPr>
          </w:p>
          <w:p w:rsidR="00830447" w:rsidRDefault="00702574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4" w:type="dxa"/>
            <w:shd w:val="clear" w:color="auto" w:fill="E6B8B8"/>
          </w:tcPr>
          <w:p w:rsidR="00830447" w:rsidRDefault="00A835CE">
            <w:pPr>
              <w:pStyle w:val="TableParagraph"/>
              <w:spacing w:line="252" w:lineRule="exact"/>
              <w:ind w:left="-2"/>
              <w:jc w:val="left"/>
              <w:rPr>
                <w:b/>
              </w:rPr>
            </w:pPr>
            <w:r>
              <w:rPr>
                <w:b/>
              </w:rPr>
              <w:t>Total deposits</w:t>
            </w:r>
            <w:r w:rsidR="00702574">
              <w:rPr>
                <w:b/>
              </w:rPr>
              <w:t xml:space="preserve"> (mln. AZN)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1368.7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7625.8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23431.4</w:t>
            </w:r>
          </w:p>
        </w:tc>
        <w:tc>
          <w:tcPr>
            <w:tcW w:w="1154" w:type="dxa"/>
            <w:shd w:val="clear" w:color="auto" w:fill="E6B8B8"/>
          </w:tcPr>
          <w:p w:rsidR="00830447" w:rsidRDefault="00702574">
            <w:pPr>
              <w:pStyle w:val="TableParagraph"/>
              <w:spacing w:line="252" w:lineRule="exact"/>
              <w:ind w:right="-4"/>
              <w:rPr>
                <w:b/>
              </w:rPr>
            </w:pPr>
            <w:r>
              <w:rPr>
                <w:b/>
              </w:rPr>
              <w:t>22091.0</w:t>
            </w:r>
          </w:p>
        </w:tc>
        <w:tc>
          <w:tcPr>
            <w:tcW w:w="1131" w:type="dxa"/>
            <w:shd w:val="clear" w:color="auto" w:fill="E6B8B8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20599.1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3009B3" w:rsidP="003009B3">
            <w:pPr>
              <w:pStyle w:val="TableParagraph"/>
              <w:spacing w:line="251" w:lineRule="exact"/>
              <w:jc w:val="left"/>
            </w:pPr>
            <w:r>
              <w:t>Deposits</w:t>
            </w:r>
            <w:r w:rsidR="00702574">
              <w:t xml:space="preserve"> </w:t>
            </w:r>
            <w:r w:rsidRPr="003009B3">
              <w:t>in national currency</w:t>
            </w:r>
            <w:r>
              <w:t xml:space="preserve"> </w:t>
            </w:r>
            <w:r w:rsidR="00702574">
              <w:t>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280.2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3205.3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4301.7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5459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5685.6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3009B3" w:rsidP="003009B3">
            <w:pPr>
              <w:pStyle w:val="TableParagraph"/>
              <w:spacing w:before="1" w:line="251" w:lineRule="exact"/>
              <w:ind w:left="-2"/>
              <w:jc w:val="left"/>
            </w:pPr>
            <w:r>
              <w:t>Depos</w:t>
            </w:r>
            <w:r w:rsidR="00702574">
              <w:t>it</w:t>
            </w:r>
            <w:r>
              <w:t>s in foreign currency</w:t>
            </w:r>
            <w:r w:rsidR="00702574">
              <w:t xml:space="preserve"> 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1088.5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4420.5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19129.7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16632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14913.5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BD5F4B">
            <w:pPr>
              <w:pStyle w:val="TableParagraph"/>
              <w:spacing w:before="1" w:line="251" w:lineRule="exact"/>
              <w:ind w:left="164"/>
              <w:jc w:val="left"/>
            </w:pPr>
            <w:r>
              <w:t>Deposits in foreign currency</w:t>
            </w:r>
            <w:r w:rsidR="00702574">
              <w:t xml:space="preserve"> (mln.USD)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1185.0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5540.2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12267.3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9392.9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4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8772.1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BD5F4B">
            <w:pPr>
              <w:pStyle w:val="TableParagraph"/>
              <w:spacing w:line="252" w:lineRule="exact"/>
              <w:ind w:left="164"/>
              <w:jc w:val="left"/>
            </w:pPr>
            <w:r>
              <w:t>Deposit dollarization</w:t>
            </w:r>
            <w:r w:rsidR="00702574">
              <w:t xml:space="preserve"> (%)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79.5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58.0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81.6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2" w:lineRule="exact"/>
              <w:ind w:right="-4"/>
            </w:pPr>
            <w:r>
              <w:t>75.3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72.4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8D6154" w:rsidP="00C063A6">
            <w:pPr>
              <w:pStyle w:val="TableParagraph"/>
              <w:spacing w:line="251" w:lineRule="exact"/>
              <w:ind w:left="-2"/>
              <w:jc w:val="left"/>
            </w:pPr>
            <w:r>
              <w:t xml:space="preserve">Deposits of </w:t>
            </w:r>
            <w:r w:rsidR="00C063A6">
              <w:t xml:space="preserve">households </w:t>
            </w:r>
            <w:r w:rsidR="00702574">
              <w:t>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494.5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3029.8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9473.9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line="251" w:lineRule="exact"/>
              <w:ind w:right="-4"/>
            </w:pPr>
            <w:r>
              <w:t>7448.7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7561.2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A846F5" w:rsidP="00A846F5">
            <w:pPr>
              <w:pStyle w:val="TableParagraph"/>
              <w:spacing w:before="1" w:line="251" w:lineRule="exact"/>
              <w:ind w:left="164"/>
              <w:jc w:val="left"/>
            </w:pPr>
            <w:r>
              <w:t>Deposits with national currency</w:t>
            </w:r>
            <w:r w:rsidR="00702574">
              <w:t xml:space="preserve"> 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55.8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1410.0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1420.2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1517.2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2532.9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A846F5" w:rsidP="00A846F5">
            <w:pPr>
              <w:pStyle w:val="TableParagraph"/>
              <w:spacing w:before="1" w:line="251" w:lineRule="exact"/>
              <w:ind w:left="164"/>
              <w:jc w:val="left"/>
            </w:pPr>
            <w:r>
              <w:t xml:space="preserve">Deposits with foreign currency </w:t>
            </w:r>
            <w:r w:rsidR="00702574">
              <w:t>(mln.AZN)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438.7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1619.8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8053.7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5931.5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5028.3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8D6154">
            <w:pPr>
              <w:pStyle w:val="TableParagraph"/>
              <w:spacing w:before="1" w:line="251" w:lineRule="exact"/>
              <w:ind w:left="164"/>
              <w:jc w:val="left"/>
            </w:pPr>
            <w:r>
              <w:t>Deposits with foreign currency</w:t>
            </w:r>
            <w:r w:rsidR="00702574">
              <w:t xml:space="preserve"> (mln.USD)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477.6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2030.1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5164.6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3349.8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2957.6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8D6154">
            <w:pPr>
              <w:pStyle w:val="TableParagraph"/>
              <w:spacing w:before="1" w:line="251" w:lineRule="exact"/>
              <w:ind w:left="164"/>
              <w:jc w:val="left"/>
            </w:pPr>
            <w:r>
              <w:t>Deposit dollar</w:t>
            </w:r>
            <w:r w:rsidR="00702574">
              <w:t xml:space="preserve"> (%)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88.7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53.5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85.0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79.6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66.5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100588" w:rsidP="00100588">
            <w:pPr>
              <w:pStyle w:val="TableParagraph"/>
              <w:spacing w:before="1" w:line="251" w:lineRule="exact"/>
              <w:ind w:left="-2"/>
              <w:jc w:val="left"/>
            </w:pPr>
            <w:r>
              <w:t xml:space="preserve">Deposits of financial organizations </w:t>
            </w:r>
            <w:r w:rsidR="00702574">
              <w:t>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6"/>
            </w:pPr>
            <w:r>
              <w:t>m/y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2177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6358.8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5528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1935.0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8D6154" w:rsidP="008D6154">
            <w:pPr>
              <w:pStyle w:val="TableParagraph"/>
              <w:spacing w:before="1" w:line="251" w:lineRule="exact"/>
              <w:ind w:left="-2"/>
              <w:jc w:val="left"/>
            </w:pPr>
            <w:r>
              <w:t>Deposits of non-financial organizations</w:t>
            </w:r>
            <w:r w:rsidR="00702574">
              <w:t xml:space="preserve"> (mln. AZN)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874.2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2419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7630.4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1" w:lineRule="exact"/>
              <w:ind w:right="-4"/>
            </w:pPr>
            <w:r>
              <w:t>9114.3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11102.9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702574">
            <w:pPr>
              <w:pStyle w:val="TableParagraph"/>
              <w:spacing w:before="1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4" w:type="dxa"/>
            <w:shd w:val="clear" w:color="auto" w:fill="E6B8B8"/>
          </w:tcPr>
          <w:p w:rsidR="00830447" w:rsidRDefault="005B4521" w:rsidP="005B4521">
            <w:pPr>
              <w:pStyle w:val="TableParagraph"/>
              <w:spacing w:before="1" w:line="251" w:lineRule="exact"/>
              <w:ind w:left="-2"/>
              <w:jc w:val="left"/>
              <w:rPr>
                <w:b/>
              </w:rPr>
            </w:pPr>
            <w:r>
              <w:rPr>
                <w:b/>
              </w:rPr>
              <w:t>Foreign liabilities of bank sec</w:t>
            </w:r>
            <w:r w:rsidR="00702574">
              <w:rPr>
                <w:b/>
              </w:rPr>
              <w:t>tor (mln.AZN)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158.2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2470.4</w:t>
            </w:r>
          </w:p>
        </w:tc>
        <w:tc>
          <w:tcPr>
            <w:tcW w:w="1137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8204.5</w:t>
            </w:r>
          </w:p>
        </w:tc>
        <w:tc>
          <w:tcPr>
            <w:tcW w:w="1154" w:type="dxa"/>
            <w:shd w:val="clear" w:color="auto" w:fill="E6B8B8"/>
          </w:tcPr>
          <w:p w:rsidR="00830447" w:rsidRDefault="00702574">
            <w:pPr>
              <w:pStyle w:val="TableParagraph"/>
              <w:spacing w:before="1" w:line="251" w:lineRule="exact"/>
              <w:ind w:right="-4"/>
              <w:rPr>
                <w:b/>
              </w:rPr>
            </w:pPr>
            <w:r>
              <w:rPr>
                <w:b/>
              </w:rPr>
              <w:t>7224.8</w:t>
            </w:r>
          </w:p>
        </w:tc>
        <w:tc>
          <w:tcPr>
            <w:tcW w:w="1131" w:type="dxa"/>
            <w:shd w:val="clear" w:color="auto" w:fill="E6B8B8"/>
          </w:tcPr>
          <w:p w:rsidR="00830447" w:rsidRDefault="00702574">
            <w:pPr>
              <w:pStyle w:val="TableParagraph"/>
              <w:spacing w:before="15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2308.3</w:t>
            </w:r>
          </w:p>
        </w:tc>
      </w:tr>
      <w:tr w:rsidR="00830447" w:rsidTr="00EF7FEC">
        <w:trPr>
          <w:trHeight w:val="24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74" w:type="dxa"/>
            <w:shd w:val="clear" w:color="auto" w:fill="F1DCDB"/>
          </w:tcPr>
          <w:p w:rsidR="00830447" w:rsidRDefault="00100588">
            <w:pPr>
              <w:pStyle w:val="TableParagraph"/>
              <w:spacing w:before="1" w:line="250" w:lineRule="exact"/>
              <w:ind w:left="164"/>
              <w:jc w:val="left"/>
            </w:pPr>
            <w:r w:rsidRPr="00100588">
              <w:t xml:space="preserve">Foreign liabilities of bank sector </w:t>
            </w:r>
            <w:r w:rsidR="00702574">
              <w:t>(mln.USD)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0" w:lineRule="exact"/>
              <w:ind w:right="-4"/>
            </w:pPr>
            <w:r>
              <w:t>172.2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0" w:lineRule="exact"/>
              <w:ind w:right="-4"/>
            </w:pPr>
            <w:r>
              <w:t>3096.1</w:t>
            </w:r>
          </w:p>
        </w:tc>
        <w:tc>
          <w:tcPr>
            <w:tcW w:w="1137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0" w:lineRule="exact"/>
              <w:ind w:right="-4"/>
            </w:pPr>
            <w:r>
              <w:t>5261.3</w:t>
            </w:r>
          </w:p>
        </w:tc>
        <w:tc>
          <w:tcPr>
            <w:tcW w:w="1154" w:type="dxa"/>
            <w:shd w:val="clear" w:color="auto" w:fill="F1DCDB"/>
          </w:tcPr>
          <w:p w:rsidR="00830447" w:rsidRDefault="00702574">
            <w:pPr>
              <w:pStyle w:val="TableParagraph"/>
              <w:spacing w:before="1" w:line="250" w:lineRule="exact"/>
              <w:ind w:right="-4"/>
            </w:pPr>
            <w:r>
              <w:t>4080.2</w:t>
            </w:r>
          </w:p>
        </w:tc>
        <w:tc>
          <w:tcPr>
            <w:tcW w:w="1131" w:type="dxa"/>
            <w:shd w:val="clear" w:color="auto" w:fill="F1DCDB"/>
          </w:tcPr>
          <w:p w:rsidR="00830447" w:rsidRDefault="00702574">
            <w:pPr>
              <w:pStyle w:val="TableParagraph"/>
              <w:spacing w:before="15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1357.7</w:t>
            </w:r>
          </w:p>
        </w:tc>
      </w:tr>
    </w:tbl>
    <w:p w:rsidR="00830447" w:rsidRDefault="00830447">
      <w:pPr>
        <w:rPr>
          <w:sz w:val="20"/>
        </w:rPr>
        <w:sectPr w:rsidR="00830447">
          <w:pgSz w:w="14400" w:h="10800" w:orient="landscape"/>
          <w:pgMar w:top="700" w:right="360" w:bottom="560" w:left="840" w:header="0" w:footer="365" w:gutter="0"/>
          <w:cols w:space="720"/>
        </w:sectPr>
      </w:pPr>
    </w:p>
    <w:tbl>
      <w:tblPr>
        <w:tblW w:w="0" w:type="auto"/>
        <w:tblInd w:w="-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6383"/>
        <w:gridCol w:w="1167"/>
        <w:gridCol w:w="1167"/>
        <w:gridCol w:w="1167"/>
        <w:gridCol w:w="1184"/>
        <w:gridCol w:w="1166"/>
      </w:tblGrid>
      <w:tr w:rsidR="00830447" w:rsidTr="00FC6B69">
        <w:trPr>
          <w:trHeight w:val="860"/>
        </w:trPr>
        <w:tc>
          <w:tcPr>
            <w:tcW w:w="1350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FC6B69">
            <w:pPr>
              <w:pStyle w:val="TableParagraph"/>
              <w:ind w:left="17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6383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FC6B69" w:rsidP="00FC6B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Profit</w:t>
            </w:r>
            <w:r w:rsidR="00702574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loss</w:t>
            </w:r>
            <w:r w:rsidR="00702574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indicators of bank sector</w:t>
            </w:r>
            <w:r w:rsidR="00702574">
              <w:rPr>
                <w:b/>
                <w:sz w:val="24"/>
              </w:rPr>
              <w:t xml:space="preserve"> (mln.</w:t>
            </w:r>
            <w:r w:rsidR="00EC0370">
              <w:rPr>
                <w:b/>
                <w:sz w:val="24"/>
              </w:rPr>
              <w:t xml:space="preserve"> </w:t>
            </w:r>
            <w:r w:rsidR="00702574">
              <w:rPr>
                <w:b/>
                <w:sz w:val="24"/>
              </w:rPr>
              <w:t>AZN)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184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166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830447" w:rsidRDefault="00702574">
            <w:pPr>
              <w:pStyle w:val="TableParagraph"/>
              <w:ind w:left="35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</w:tr>
      <w:tr w:rsidR="00830447" w:rsidTr="00FC6B69">
        <w:trPr>
          <w:trHeight w:val="76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3"/>
              <w:jc w:val="left"/>
              <w:rPr>
                <w:sz w:val="38"/>
              </w:rPr>
            </w:pPr>
          </w:p>
          <w:p w:rsidR="00830447" w:rsidRDefault="0070257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3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236EC5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Pure interest income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117.3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503.69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1269.3</w:t>
            </w:r>
          </w:p>
        </w:tc>
        <w:tc>
          <w:tcPr>
            <w:tcW w:w="1184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914.4</w:t>
            </w:r>
          </w:p>
        </w:tc>
        <w:tc>
          <w:tcPr>
            <w:tcW w:w="1166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950.3</w:t>
            </w:r>
          </w:p>
        </w:tc>
      </w:tr>
      <w:tr w:rsidR="00830447" w:rsidTr="00FC6B69">
        <w:trPr>
          <w:trHeight w:val="76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83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236EC5" w:rsidP="00236EC5">
            <w:pPr>
              <w:pStyle w:val="TableParagraph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Interest incomes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175.5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1055.3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2055.7</w:t>
            </w:r>
          </w:p>
        </w:tc>
        <w:tc>
          <w:tcPr>
            <w:tcW w:w="1184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1994.0</w:t>
            </w:r>
          </w:p>
        </w:tc>
        <w:tc>
          <w:tcPr>
            <w:tcW w:w="1166" w:type="dxa"/>
            <w:shd w:val="clear" w:color="auto" w:fill="F1DCDB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1775.2</w:t>
            </w:r>
          </w:p>
        </w:tc>
      </w:tr>
      <w:tr w:rsidR="00830447" w:rsidTr="00FC6B69">
        <w:trPr>
          <w:trHeight w:val="76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83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236EC5" w:rsidP="00236EC5">
            <w:pPr>
              <w:pStyle w:val="TableParagraph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Interest expenses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59.2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551.6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986.4</w:t>
            </w:r>
          </w:p>
        </w:tc>
        <w:tc>
          <w:tcPr>
            <w:tcW w:w="1184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1079.7</w:t>
            </w:r>
          </w:p>
        </w:tc>
        <w:tc>
          <w:tcPr>
            <w:tcW w:w="1166" w:type="dxa"/>
            <w:shd w:val="clear" w:color="auto" w:fill="F1DCDB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824.9</w:t>
            </w:r>
          </w:p>
        </w:tc>
      </w:tr>
      <w:tr w:rsidR="00830447" w:rsidTr="00FC6B69">
        <w:trPr>
          <w:trHeight w:val="76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4"/>
              <w:jc w:val="left"/>
              <w:rPr>
                <w:sz w:val="38"/>
              </w:rPr>
            </w:pPr>
          </w:p>
          <w:p w:rsidR="00830447" w:rsidRDefault="0070257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3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FC6B69" w:rsidP="00FC6B69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Pure</w:t>
            </w:r>
            <w:r w:rsidR="0070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 w:rsidR="00702574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interest</w:t>
            </w:r>
            <w:r w:rsidR="0070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incomes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-9.7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-179.7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-432.7</w:t>
            </w:r>
          </w:p>
        </w:tc>
        <w:tc>
          <w:tcPr>
            <w:tcW w:w="1184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-1337.0</w:t>
            </w:r>
          </w:p>
        </w:tc>
        <w:tc>
          <w:tcPr>
            <w:tcW w:w="1166" w:type="dxa"/>
            <w:shd w:val="clear" w:color="auto" w:fill="E6B8B8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-42.1</w:t>
            </w:r>
          </w:p>
        </w:tc>
      </w:tr>
      <w:tr w:rsidR="00830447" w:rsidTr="00FC6B69">
        <w:trPr>
          <w:trHeight w:val="76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83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236EC5">
            <w:pPr>
              <w:pStyle w:val="TableParagraph"/>
              <w:spacing w:before="1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Non-interest incomes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93.4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271.6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476.5</w:t>
            </w:r>
          </w:p>
        </w:tc>
        <w:tc>
          <w:tcPr>
            <w:tcW w:w="1184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right="-1"/>
              <w:rPr>
                <w:sz w:val="24"/>
              </w:rPr>
            </w:pPr>
            <w:r>
              <w:rPr>
                <w:sz w:val="24"/>
              </w:rPr>
              <w:t>-338.3</w:t>
            </w:r>
          </w:p>
        </w:tc>
        <w:tc>
          <w:tcPr>
            <w:tcW w:w="1166" w:type="dxa"/>
            <w:shd w:val="clear" w:color="auto" w:fill="F1DCDB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938.5</w:t>
            </w:r>
          </w:p>
        </w:tc>
      </w:tr>
      <w:tr w:rsidR="00830447" w:rsidTr="00FC6B69">
        <w:trPr>
          <w:trHeight w:val="76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83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630C25">
            <w:pPr>
              <w:pStyle w:val="TableParagraph"/>
              <w:spacing w:before="1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Non-interest expenses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103.1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451.3</w:t>
            </w:r>
          </w:p>
        </w:tc>
        <w:tc>
          <w:tcPr>
            <w:tcW w:w="1167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909.1</w:t>
            </w:r>
          </w:p>
        </w:tc>
        <w:tc>
          <w:tcPr>
            <w:tcW w:w="1184" w:type="dxa"/>
            <w:shd w:val="clear" w:color="auto" w:fill="F1DCDB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right="-1"/>
              <w:rPr>
                <w:sz w:val="24"/>
              </w:rPr>
            </w:pPr>
            <w:r>
              <w:rPr>
                <w:sz w:val="24"/>
              </w:rPr>
              <w:t>998.7</w:t>
            </w:r>
          </w:p>
        </w:tc>
        <w:tc>
          <w:tcPr>
            <w:tcW w:w="1166" w:type="dxa"/>
            <w:shd w:val="clear" w:color="auto" w:fill="F1DCDB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980.6</w:t>
            </w:r>
          </w:p>
        </w:tc>
      </w:tr>
      <w:tr w:rsidR="00830447" w:rsidTr="00FC6B69">
        <w:trPr>
          <w:trHeight w:val="760"/>
        </w:trPr>
        <w:tc>
          <w:tcPr>
            <w:tcW w:w="1350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3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630C25" w:rsidP="00630C25">
            <w:pPr>
              <w:pStyle w:val="TableParagraph"/>
              <w:spacing w:before="1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Pure operation profit (loss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107.6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324.0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836.6</w:t>
            </w:r>
          </w:p>
        </w:tc>
        <w:tc>
          <w:tcPr>
            <w:tcW w:w="1184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spacing w:before="1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-422.6</w:t>
            </w:r>
          </w:p>
        </w:tc>
        <w:tc>
          <w:tcPr>
            <w:tcW w:w="1166" w:type="dxa"/>
            <w:shd w:val="clear" w:color="auto" w:fill="E6B8B8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908.2</w:t>
            </w:r>
          </w:p>
        </w:tc>
      </w:tr>
      <w:tr w:rsidR="00830447" w:rsidTr="00FC6B69">
        <w:trPr>
          <w:trHeight w:val="820"/>
        </w:trPr>
        <w:tc>
          <w:tcPr>
            <w:tcW w:w="1350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3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30447" w:rsidRDefault="00B5751E" w:rsidP="00B5751E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Special reserves allocations for assets 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50.7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184.0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373.7</w:t>
            </w:r>
          </w:p>
        </w:tc>
        <w:tc>
          <w:tcPr>
            <w:tcW w:w="1184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1212.0</w:t>
            </w:r>
          </w:p>
        </w:tc>
        <w:tc>
          <w:tcPr>
            <w:tcW w:w="1166" w:type="dxa"/>
            <w:shd w:val="clear" w:color="auto" w:fill="E6B8B8"/>
          </w:tcPr>
          <w:p w:rsidR="00830447" w:rsidRDefault="00830447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26.5</w:t>
            </w:r>
          </w:p>
        </w:tc>
      </w:tr>
      <w:tr w:rsidR="00830447" w:rsidTr="00FC6B69">
        <w:trPr>
          <w:trHeight w:val="820"/>
        </w:trPr>
        <w:tc>
          <w:tcPr>
            <w:tcW w:w="1350" w:type="dxa"/>
            <w:shd w:val="clear" w:color="auto" w:fill="E6B8B8"/>
          </w:tcPr>
          <w:p w:rsidR="00830447" w:rsidRDefault="00830447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3" w:type="dxa"/>
            <w:shd w:val="clear" w:color="auto" w:fill="E6B8B8"/>
          </w:tcPr>
          <w:p w:rsidR="00830447" w:rsidRDefault="00830447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30447" w:rsidRDefault="00EA3C68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Profit until the taxes are paid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57.0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140.1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458.8</w:t>
            </w:r>
          </w:p>
        </w:tc>
        <w:tc>
          <w:tcPr>
            <w:tcW w:w="1184" w:type="dxa"/>
            <w:shd w:val="clear" w:color="auto" w:fill="E6B8B8"/>
          </w:tcPr>
          <w:p w:rsidR="00830447" w:rsidRDefault="00830447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-1625.1</w:t>
            </w:r>
          </w:p>
        </w:tc>
        <w:tc>
          <w:tcPr>
            <w:tcW w:w="1166" w:type="dxa"/>
            <w:shd w:val="clear" w:color="auto" w:fill="E6B8B8"/>
          </w:tcPr>
          <w:p w:rsidR="00830447" w:rsidRDefault="00830447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938.8</w:t>
            </w:r>
          </w:p>
        </w:tc>
      </w:tr>
      <w:tr w:rsidR="00830447" w:rsidTr="00FC6B69">
        <w:trPr>
          <w:trHeight w:val="740"/>
        </w:trPr>
        <w:tc>
          <w:tcPr>
            <w:tcW w:w="1350" w:type="dxa"/>
            <w:shd w:val="clear" w:color="auto" w:fill="E6B8B8"/>
          </w:tcPr>
          <w:p w:rsidR="00830447" w:rsidRDefault="0083044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830447" w:rsidRDefault="00702574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3" w:type="dxa"/>
            <w:shd w:val="clear" w:color="auto" w:fill="E6B8B8"/>
          </w:tcPr>
          <w:p w:rsidR="00830447" w:rsidRDefault="0083044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830447" w:rsidRDefault="006C77E6" w:rsidP="006C77E6">
            <w:pPr>
              <w:pStyle w:val="TableParagraph"/>
              <w:spacing w:before="1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Pure</w:t>
            </w:r>
            <w:r w:rsidR="00702574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after taxes</w:t>
            </w:r>
            <w:r w:rsidR="00702574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profit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830447" w:rsidRDefault="007025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42.7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830447" w:rsidRDefault="007025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120.3</w:t>
            </w:r>
          </w:p>
        </w:tc>
        <w:tc>
          <w:tcPr>
            <w:tcW w:w="1167" w:type="dxa"/>
            <w:shd w:val="clear" w:color="auto" w:fill="E6B8B8"/>
          </w:tcPr>
          <w:p w:rsidR="00830447" w:rsidRDefault="0083044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370.5</w:t>
            </w:r>
          </w:p>
        </w:tc>
        <w:tc>
          <w:tcPr>
            <w:tcW w:w="1184" w:type="dxa"/>
            <w:shd w:val="clear" w:color="auto" w:fill="E6B8B8"/>
          </w:tcPr>
          <w:p w:rsidR="00830447" w:rsidRDefault="0083044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830447" w:rsidRDefault="00702574">
            <w:pPr>
              <w:pStyle w:val="TableParagraph"/>
              <w:spacing w:before="1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-1667.6</w:t>
            </w:r>
          </w:p>
        </w:tc>
        <w:tc>
          <w:tcPr>
            <w:tcW w:w="1166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</w:pPr>
          </w:p>
          <w:p w:rsidR="00830447" w:rsidRDefault="00702574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883.6</w:t>
            </w:r>
          </w:p>
        </w:tc>
      </w:tr>
    </w:tbl>
    <w:p w:rsidR="00830447" w:rsidRDefault="00830447">
      <w:pPr>
        <w:rPr>
          <w:rFonts w:ascii="Arial"/>
          <w:sz w:val="20"/>
        </w:rPr>
        <w:sectPr w:rsidR="00830447">
          <w:pgSz w:w="14400" w:h="10800" w:orient="landscape"/>
          <w:pgMar w:top="940" w:right="240" w:bottom="560" w:left="600" w:header="0" w:footer="365" w:gutter="0"/>
          <w:cols w:space="720"/>
        </w:sectPr>
      </w:pPr>
    </w:p>
    <w:tbl>
      <w:tblPr>
        <w:tblW w:w="0" w:type="auto"/>
        <w:tblInd w:w="-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6359"/>
        <w:gridCol w:w="1176"/>
        <w:gridCol w:w="1176"/>
        <w:gridCol w:w="1176"/>
        <w:gridCol w:w="1194"/>
        <w:gridCol w:w="1139"/>
      </w:tblGrid>
      <w:tr w:rsidR="00830447" w:rsidTr="001C4ABC">
        <w:trPr>
          <w:trHeight w:val="620"/>
        </w:trPr>
        <w:tc>
          <w:tcPr>
            <w:tcW w:w="1350" w:type="dxa"/>
            <w:shd w:val="clear" w:color="auto" w:fill="E6B8B8"/>
          </w:tcPr>
          <w:p w:rsidR="00830447" w:rsidRDefault="001C4ABC">
            <w:pPr>
              <w:pStyle w:val="TableParagraph"/>
              <w:spacing w:before="178"/>
              <w:ind w:left="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6359" w:type="dxa"/>
            <w:shd w:val="clear" w:color="auto" w:fill="E6B8B8"/>
          </w:tcPr>
          <w:p w:rsidR="00830447" w:rsidRDefault="001C4ABC" w:rsidP="001C4ABC">
            <w:pPr>
              <w:pStyle w:val="TableParagraph"/>
              <w:spacing w:before="178"/>
              <w:ind w:left="18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Politics</w:t>
            </w:r>
            <w:r w:rsidR="0070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70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market interest</w:t>
            </w:r>
            <w:r w:rsidR="0070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rates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78"/>
              <w:ind w:left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2007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78"/>
              <w:ind w:left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78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194" w:type="dxa"/>
            <w:shd w:val="clear" w:color="auto" w:fill="E6B8B8"/>
          </w:tcPr>
          <w:p w:rsidR="00830447" w:rsidRDefault="00702574">
            <w:pPr>
              <w:pStyle w:val="TableParagraph"/>
              <w:spacing w:before="178"/>
              <w:ind w:lef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139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830447" w:rsidRDefault="00702574">
            <w:pPr>
              <w:pStyle w:val="TableParagraph"/>
              <w:ind w:left="34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</w:tr>
      <w:tr w:rsidR="00DF1BC0" w:rsidTr="00DF1BC0">
        <w:trPr>
          <w:trHeight w:val="300"/>
        </w:trPr>
        <w:tc>
          <w:tcPr>
            <w:tcW w:w="1350" w:type="dxa"/>
            <w:vMerge w:val="restart"/>
            <w:shd w:val="clear" w:color="auto" w:fill="E6B8B8"/>
          </w:tcPr>
          <w:p w:rsidR="00DF1BC0" w:rsidRDefault="00DF1BC0" w:rsidP="00DF1BC0">
            <w:pPr>
              <w:pStyle w:val="TableParagraph"/>
              <w:jc w:val="left"/>
              <w:rPr>
                <w:sz w:val="26"/>
              </w:rPr>
            </w:pPr>
          </w:p>
          <w:p w:rsidR="00DF1BC0" w:rsidRDefault="00DF1BC0" w:rsidP="00DF1BC0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DF1BC0" w:rsidRDefault="00DF1BC0" w:rsidP="00DF1BC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vAlign w:val="center"/>
          </w:tcPr>
          <w:p w:rsidR="00DF1BC0" w:rsidRDefault="00DF1BC0" w:rsidP="00DF1BC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dark1"/>
                <w:kern w:val="24"/>
              </w:rPr>
              <w:t>SBA's interest rate corridor (at the end of the period)</w:t>
            </w:r>
          </w:p>
        </w:tc>
        <w:tc>
          <w:tcPr>
            <w:tcW w:w="1176" w:type="dxa"/>
            <w:shd w:val="clear" w:color="auto" w:fill="E6B8B8"/>
          </w:tcPr>
          <w:p w:rsidR="00DF1BC0" w:rsidRDefault="00DF1BC0" w:rsidP="00DF1BC0">
            <w:pPr>
              <w:pStyle w:val="TableParagraph"/>
              <w:jc w:val="left"/>
            </w:pPr>
          </w:p>
        </w:tc>
        <w:tc>
          <w:tcPr>
            <w:tcW w:w="1176" w:type="dxa"/>
            <w:shd w:val="clear" w:color="auto" w:fill="E6B8B8"/>
          </w:tcPr>
          <w:p w:rsidR="00DF1BC0" w:rsidRDefault="00DF1BC0" w:rsidP="00DF1BC0">
            <w:pPr>
              <w:pStyle w:val="TableParagraph"/>
              <w:jc w:val="left"/>
            </w:pPr>
          </w:p>
        </w:tc>
        <w:tc>
          <w:tcPr>
            <w:tcW w:w="1176" w:type="dxa"/>
            <w:shd w:val="clear" w:color="auto" w:fill="E6B8B8"/>
          </w:tcPr>
          <w:p w:rsidR="00DF1BC0" w:rsidRDefault="00DF1BC0" w:rsidP="00DF1BC0">
            <w:pPr>
              <w:pStyle w:val="TableParagraph"/>
              <w:jc w:val="left"/>
            </w:pPr>
          </w:p>
        </w:tc>
        <w:tc>
          <w:tcPr>
            <w:tcW w:w="1194" w:type="dxa"/>
            <w:shd w:val="clear" w:color="auto" w:fill="E6B8B8"/>
          </w:tcPr>
          <w:p w:rsidR="00DF1BC0" w:rsidRDefault="00DF1BC0" w:rsidP="00DF1BC0">
            <w:pPr>
              <w:pStyle w:val="TableParagraph"/>
              <w:jc w:val="left"/>
            </w:pPr>
          </w:p>
        </w:tc>
        <w:tc>
          <w:tcPr>
            <w:tcW w:w="1139" w:type="dxa"/>
            <w:shd w:val="clear" w:color="auto" w:fill="E6B8B8"/>
          </w:tcPr>
          <w:p w:rsidR="00DF1BC0" w:rsidRDefault="00DF1BC0" w:rsidP="00DF1BC0">
            <w:pPr>
              <w:pStyle w:val="TableParagraph"/>
              <w:jc w:val="left"/>
            </w:pPr>
          </w:p>
        </w:tc>
      </w:tr>
      <w:tr w:rsidR="00DF1BC0" w:rsidTr="00DF1BC0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DF1BC0" w:rsidRDefault="00DF1BC0" w:rsidP="00DF1BC0"/>
        </w:tc>
        <w:tc>
          <w:tcPr>
            <w:tcW w:w="6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DF1BC0" w:rsidRDefault="00DF1BC0" w:rsidP="00DF1BC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 xml:space="preserve">   Low Corridor (%)</w:t>
            </w:r>
          </w:p>
        </w:tc>
        <w:tc>
          <w:tcPr>
            <w:tcW w:w="1176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76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176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ind w:right="-1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1194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ind w:right="-2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13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10.0</w:t>
            </w:r>
          </w:p>
        </w:tc>
      </w:tr>
      <w:tr w:rsidR="00DF1BC0" w:rsidTr="00DF1BC0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DF1BC0" w:rsidRDefault="00DF1BC0" w:rsidP="00DF1BC0"/>
        </w:tc>
        <w:tc>
          <w:tcPr>
            <w:tcW w:w="6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DF1BC0" w:rsidRDefault="00DF1BC0" w:rsidP="00DF1BC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 xml:space="preserve">   The upper limit of the corridor (%)</w:t>
            </w:r>
          </w:p>
        </w:tc>
        <w:tc>
          <w:tcPr>
            <w:tcW w:w="1176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19.0</w:t>
            </w:r>
          </w:p>
        </w:tc>
        <w:tc>
          <w:tcPr>
            <w:tcW w:w="1176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176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ind w:right="-1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94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ind w:right="-2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  <w:tc>
          <w:tcPr>
            <w:tcW w:w="113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38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18.0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EA3C68" w:rsidP="00EA3C68">
            <w:pPr>
              <w:pStyle w:val="TableParagraph"/>
              <w:spacing w:before="11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Accounting rate</w:t>
            </w:r>
            <w:r w:rsidR="00702574">
              <w:rPr>
                <w:sz w:val="24"/>
              </w:rPr>
              <w:t xml:space="preserve"> (%)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2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8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15.0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DF1BC0">
            <w:pPr>
              <w:pStyle w:val="TableParagraph"/>
              <w:spacing w:before="38"/>
              <w:ind w:left="334"/>
              <w:jc w:val="left"/>
              <w:rPr>
                <w:rFonts w:ascii="Arial" w:hAnsi="Arial"/>
                <w:i/>
                <w:sz w:val="20"/>
              </w:rPr>
            </w:pPr>
            <w:r w:rsidRPr="00DF1BC0">
              <w:rPr>
                <w:rFonts w:ascii="Arial" w:hAnsi="Arial"/>
                <w:i/>
                <w:sz w:val="20"/>
              </w:rPr>
              <w:t>Refinancing volume (mln.AZN) (residual at the end of the period)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38"/>
              <w:ind w:right="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95.3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38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1861.8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38"/>
              <w:ind w:right="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6157.7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3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2044.3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8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923.7</w:t>
            </w:r>
          </w:p>
        </w:tc>
      </w:tr>
      <w:tr w:rsidR="00830447" w:rsidTr="001C4ABC">
        <w:trPr>
          <w:trHeight w:val="56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spacing w:before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59" w:type="dxa"/>
            <w:shd w:val="clear" w:color="auto" w:fill="E6B8B8"/>
          </w:tcPr>
          <w:p w:rsidR="00C063A6" w:rsidRDefault="00C063A6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Average interest rates on government securities</w:t>
            </w:r>
          </w:p>
          <w:p w:rsidR="00830447" w:rsidRDefault="00702574">
            <w:pPr>
              <w:pStyle w:val="TableParagraph"/>
              <w:spacing w:before="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C063A6" w:rsidRPr="00C063A6">
              <w:rPr>
                <w:b/>
                <w:sz w:val="24"/>
              </w:rPr>
              <w:t>to the end of the period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76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176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176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194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13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DF1BC0">
            <w:pPr>
              <w:pStyle w:val="TableParagraph"/>
              <w:spacing w:before="11"/>
              <w:ind w:left="165"/>
              <w:jc w:val="left"/>
              <w:rPr>
                <w:sz w:val="24"/>
              </w:rPr>
            </w:pPr>
            <w:r w:rsidRPr="00DF1BC0">
              <w:rPr>
                <w:sz w:val="24"/>
              </w:rPr>
              <w:t>Interest rate on CBA notes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1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2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14.3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DF1BC0" w:rsidRPr="00DF1BC0" w:rsidRDefault="00DF1BC0" w:rsidP="00DF1BC0">
            <w:pPr>
              <w:pStyle w:val="TableParagraph"/>
              <w:spacing w:before="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F1BC0">
              <w:rPr>
                <w:sz w:val="24"/>
              </w:rPr>
              <w:t>The average interest rate on government short-term bonds</w:t>
            </w:r>
          </w:p>
          <w:p w:rsidR="00830447" w:rsidRDefault="00830447">
            <w:pPr>
              <w:pStyle w:val="TableParagraph"/>
              <w:spacing w:before="11"/>
              <w:ind w:left="180"/>
              <w:jc w:val="left"/>
              <w:rPr>
                <w:sz w:val="24"/>
              </w:rPr>
            </w:pP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1"/>
              <w:ind w:right="-2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8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14.3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59" w:type="dxa"/>
            <w:shd w:val="clear" w:color="auto" w:fill="E6B8B8"/>
          </w:tcPr>
          <w:p w:rsidR="00830447" w:rsidRDefault="00A045FE" w:rsidP="00A045F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Average interest rates on deposits </w:t>
            </w:r>
            <w:r w:rsidR="00702574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to the end of the period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10.6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8.2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1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1194" w:type="dxa"/>
            <w:shd w:val="clear" w:color="auto" w:fill="E6B8B8"/>
          </w:tcPr>
          <w:p w:rsidR="00830447" w:rsidRDefault="00702574">
            <w:pPr>
              <w:pStyle w:val="TableParagraph"/>
              <w:spacing w:before="11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5.8</w:t>
            </w:r>
          </w:p>
        </w:tc>
        <w:tc>
          <w:tcPr>
            <w:tcW w:w="1139" w:type="dxa"/>
            <w:shd w:val="clear" w:color="auto" w:fill="E6B8B8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5.6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2A5729">
            <w:pPr>
              <w:pStyle w:val="TableParagraph"/>
              <w:spacing w:before="12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Average interest rates on deposits of legal persons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3.6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815DD8">
            <w:pPr>
              <w:pStyle w:val="TableParagraph"/>
              <w:spacing w:before="12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With manat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5.8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B8450A" w:rsidP="00B8450A">
            <w:pPr>
              <w:pStyle w:val="TableParagraph"/>
              <w:spacing w:before="12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With external currency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1.4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2A5729">
            <w:pPr>
              <w:pStyle w:val="TableParagraph"/>
              <w:spacing w:before="12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A5729">
              <w:rPr>
                <w:sz w:val="24"/>
              </w:rPr>
              <w:t>verage interest rates on deposits of physical persons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7.6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815DD8">
            <w:pPr>
              <w:pStyle w:val="TableParagraph"/>
              <w:spacing w:before="12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With manat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11.6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B8450A">
            <w:pPr>
              <w:pStyle w:val="TableParagraph"/>
              <w:spacing w:before="12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With external currency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3.7</w:t>
            </w:r>
          </w:p>
        </w:tc>
      </w:tr>
      <w:tr w:rsidR="00830447" w:rsidTr="001C4ABC">
        <w:trPr>
          <w:trHeight w:val="54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spacing w:before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59" w:type="dxa"/>
            <w:shd w:val="clear" w:color="auto" w:fill="E6B8B8"/>
          </w:tcPr>
          <w:p w:rsidR="00830447" w:rsidRDefault="00DC56B5" w:rsidP="00DC56B5">
            <w:pPr>
              <w:pStyle w:val="TableParagraph"/>
              <w:spacing w:before="1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Average interest rates on loans to customers </w:t>
            </w:r>
            <w:r w:rsidR="00702574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to the end of the period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17.7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17.4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14.2</w:t>
            </w:r>
          </w:p>
        </w:tc>
        <w:tc>
          <w:tcPr>
            <w:tcW w:w="1194" w:type="dxa"/>
            <w:shd w:val="clear" w:color="auto" w:fill="E6B8B8"/>
          </w:tcPr>
          <w:p w:rsidR="00830447" w:rsidRDefault="00702574">
            <w:pPr>
              <w:pStyle w:val="TableParagraph"/>
              <w:spacing w:before="137"/>
              <w:ind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</w:p>
        </w:tc>
        <w:tc>
          <w:tcPr>
            <w:tcW w:w="1139" w:type="dxa"/>
            <w:shd w:val="clear" w:color="auto" w:fill="E6B8B8"/>
          </w:tcPr>
          <w:p w:rsidR="00830447" w:rsidRDefault="00702574">
            <w:pPr>
              <w:pStyle w:val="TableParagraph"/>
              <w:spacing w:before="164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12.1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2A5729" w:rsidP="002A5729">
            <w:pPr>
              <w:pStyle w:val="TableParagraph"/>
              <w:spacing w:before="12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Average interest rates on loans of legal persons</w:t>
            </w:r>
            <w:r w:rsidR="00702574">
              <w:rPr>
                <w:sz w:val="24"/>
              </w:rPr>
              <w:t xml:space="preserve"> 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14.4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7.9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815DD8" w:rsidP="00815DD8">
            <w:pPr>
              <w:pStyle w:val="TableParagraph"/>
              <w:spacing w:before="12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With m</w:t>
            </w:r>
            <w:r w:rsidR="00702574">
              <w:rPr>
                <w:sz w:val="24"/>
              </w:rPr>
              <w:t>anat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8.9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B8450A">
            <w:pPr>
              <w:pStyle w:val="TableParagraph"/>
              <w:spacing w:before="12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With external currency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40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6.8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2A5729" w:rsidP="002A5729">
            <w:pPr>
              <w:pStyle w:val="TableParagraph"/>
              <w:spacing w:before="1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Average interest rates on loans of physical persons 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21.0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21.8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1"/>
              <w:rPr>
                <w:sz w:val="24"/>
              </w:rPr>
            </w:pPr>
            <w:r>
              <w:rPr>
                <w:sz w:val="24"/>
              </w:rPr>
              <w:t>19.1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2"/>
              <w:rPr>
                <w:sz w:val="24"/>
              </w:rPr>
            </w:pPr>
            <w:r>
              <w:rPr>
                <w:sz w:val="24"/>
              </w:rPr>
              <w:t>15.9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40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16.4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815DD8" w:rsidP="00815DD8">
            <w:pPr>
              <w:pStyle w:val="TableParagraph"/>
              <w:spacing w:before="12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With m</w:t>
            </w:r>
            <w:r w:rsidR="00702574">
              <w:rPr>
                <w:sz w:val="24"/>
              </w:rPr>
              <w:t>anat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20.3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19.8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1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2"/>
              <w:ind w:right="-2"/>
              <w:rPr>
                <w:sz w:val="24"/>
              </w:rPr>
            </w:pPr>
            <w:r>
              <w:rPr>
                <w:sz w:val="24"/>
              </w:rPr>
              <w:t>15.7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40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16.3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B8450A">
            <w:pPr>
              <w:pStyle w:val="TableParagraph"/>
              <w:spacing w:before="13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With external currency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21.7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23.7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1"/>
              <w:rPr>
                <w:sz w:val="24"/>
              </w:rPr>
            </w:pPr>
            <w:r>
              <w:rPr>
                <w:sz w:val="24"/>
              </w:rPr>
              <w:t>20.7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2"/>
              <w:rPr>
                <w:sz w:val="24"/>
              </w:rPr>
            </w:pPr>
            <w:r>
              <w:rPr>
                <w:sz w:val="24"/>
              </w:rPr>
              <w:t>16.0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39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16.5</w:t>
            </w:r>
          </w:p>
        </w:tc>
      </w:tr>
      <w:tr w:rsidR="00830447" w:rsidTr="001C4ABC">
        <w:trPr>
          <w:trHeight w:val="540"/>
        </w:trPr>
        <w:tc>
          <w:tcPr>
            <w:tcW w:w="13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spacing w:before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6359" w:type="dxa"/>
            <w:shd w:val="clear" w:color="auto" w:fill="E6B8B8"/>
          </w:tcPr>
          <w:p w:rsidR="00830447" w:rsidRDefault="00DC56B5" w:rsidP="00DC56B5">
            <w:pPr>
              <w:pStyle w:val="TableParagraph"/>
              <w:spacing w:before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Average interest rates on interbank loans</w:t>
            </w:r>
            <w:r w:rsidR="00702574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to the end of the period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15.5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10.9</w:t>
            </w:r>
          </w:p>
        </w:tc>
        <w:tc>
          <w:tcPr>
            <w:tcW w:w="1176" w:type="dxa"/>
            <w:shd w:val="clear" w:color="auto" w:fill="E6B8B8"/>
          </w:tcPr>
          <w:p w:rsidR="00830447" w:rsidRDefault="00702574">
            <w:pPr>
              <w:pStyle w:val="TableParagraph"/>
              <w:spacing w:before="138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</w:p>
        </w:tc>
        <w:tc>
          <w:tcPr>
            <w:tcW w:w="1194" w:type="dxa"/>
            <w:shd w:val="clear" w:color="auto" w:fill="E6B8B8"/>
          </w:tcPr>
          <w:p w:rsidR="00830447" w:rsidRDefault="00702574">
            <w:pPr>
              <w:pStyle w:val="TableParagraph"/>
              <w:spacing w:before="138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8.1</w:t>
            </w:r>
          </w:p>
        </w:tc>
        <w:tc>
          <w:tcPr>
            <w:tcW w:w="1139" w:type="dxa"/>
            <w:shd w:val="clear" w:color="auto" w:fill="E6B8B8"/>
          </w:tcPr>
          <w:p w:rsidR="00830447" w:rsidRDefault="00702574">
            <w:pPr>
              <w:pStyle w:val="TableParagraph"/>
              <w:spacing w:before="16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8.4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090CB8">
            <w:pPr>
              <w:pStyle w:val="TableParagraph"/>
              <w:spacing w:before="13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With manat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1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2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40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11.8</w:t>
            </w:r>
          </w:p>
        </w:tc>
      </w:tr>
      <w:tr w:rsidR="00830447" w:rsidTr="001C4ABC">
        <w:trPr>
          <w:trHeight w:val="300"/>
        </w:trPr>
        <w:tc>
          <w:tcPr>
            <w:tcW w:w="13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359" w:type="dxa"/>
            <w:shd w:val="clear" w:color="auto" w:fill="F1DCDB"/>
          </w:tcPr>
          <w:p w:rsidR="00830447" w:rsidRDefault="00B8450A">
            <w:pPr>
              <w:pStyle w:val="TableParagraph"/>
              <w:spacing w:before="13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With external currency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176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1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194" w:type="dxa"/>
            <w:shd w:val="clear" w:color="auto" w:fill="F1DCDB"/>
          </w:tcPr>
          <w:p w:rsidR="00830447" w:rsidRDefault="00702574">
            <w:pPr>
              <w:pStyle w:val="TableParagraph"/>
              <w:spacing w:before="13"/>
              <w:ind w:right="-2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139" w:type="dxa"/>
            <w:shd w:val="clear" w:color="auto" w:fill="F1DCDB"/>
          </w:tcPr>
          <w:p w:rsidR="00830447" w:rsidRDefault="00702574">
            <w:pPr>
              <w:pStyle w:val="TableParagraph"/>
              <w:spacing w:before="40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4.9</w:t>
            </w:r>
          </w:p>
        </w:tc>
      </w:tr>
    </w:tbl>
    <w:p w:rsidR="00830447" w:rsidRDefault="00830447">
      <w:pPr>
        <w:rPr>
          <w:rFonts w:ascii="Arial"/>
          <w:sz w:val="20"/>
        </w:rPr>
        <w:sectPr w:rsidR="00830447">
          <w:pgSz w:w="14400" w:h="10800" w:orient="landscape"/>
          <w:pgMar w:top="700" w:right="240" w:bottom="560" w:left="720" w:header="0" w:footer="365" w:gutter="0"/>
          <w:cols w:space="720"/>
        </w:sectPr>
      </w:pPr>
    </w:p>
    <w:p w:rsidR="00830447" w:rsidRDefault="00830447">
      <w:pPr>
        <w:pStyle w:val="BodyText"/>
        <w:spacing w:before="1"/>
        <w:rPr>
          <w:sz w:val="6"/>
        </w:rPr>
      </w:pPr>
    </w:p>
    <w:tbl>
      <w:tblPr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5634"/>
        <w:gridCol w:w="1259"/>
        <w:gridCol w:w="1259"/>
        <w:gridCol w:w="1259"/>
        <w:gridCol w:w="1278"/>
        <w:gridCol w:w="1290"/>
      </w:tblGrid>
      <w:tr w:rsidR="00830447" w:rsidTr="00892383">
        <w:trPr>
          <w:trHeight w:val="920"/>
        </w:trPr>
        <w:tc>
          <w:tcPr>
            <w:tcW w:w="1340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830447" w:rsidRDefault="00892383">
            <w:pPr>
              <w:pStyle w:val="TableParagraph"/>
              <w:ind w:left="20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5634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830447" w:rsidRDefault="006E51AC">
            <w:pPr>
              <w:pStyle w:val="TableParagraph"/>
              <w:ind w:left="411"/>
              <w:jc w:val="left"/>
              <w:rPr>
                <w:b/>
                <w:sz w:val="24"/>
              </w:rPr>
            </w:pPr>
            <w:r w:rsidRPr="006E51AC">
              <w:rPr>
                <w:b/>
                <w:sz w:val="24"/>
              </w:rPr>
              <w:t>Financial stability indicators of bank sector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830447" w:rsidRDefault="00702574">
            <w:pPr>
              <w:pStyle w:val="TableParagraph"/>
              <w:ind w:lef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830447" w:rsidRDefault="00702574">
            <w:pPr>
              <w:pStyle w:val="TableParagraph"/>
              <w:ind w:lef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830447" w:rsidRDefault="00702574">
            <w:pPr>
              <w:pStyle w:val="TableParagraph"/>
              <w:ind w:lef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278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830447" w:rsidRDefault="00702574">
            <w:pPr>
              <w:pStyle w:val="TableParagraph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290" w:type="dxa"/>
            <w:shd w:val="clear" w:color="auto" w:fill="E6B8B8"/>
          </w:tcPr>
          <w:p w:rsidR="00830447" w:rsidRDefault="00830447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830447" w:rsidRDefault="00702574">
            <w:pPr>
              <w:pStyle w:val="TableParagraph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830447" w:rsidTr="00892383">
        <w:trPr>
          <w:trHeight w:val="820"/>
        </w:trPr>
        <w:tc>
          <w:tcPr>
            <w:tcW w:w="1340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34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DF1BC0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 w:rsidRPr="00DF1BC0">
              <w:rPr>
                <w:b/>
                <w:sz w:val="24"/>
              </w:rPr>
              <w:t>Cumulative capital adequacy ratio (without CBB) (%)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23.5</w:t>
            </w:r>
          </w:p>
        </w:tc>
        <w:tc>
          <w:tcPr>
            <w:tcW w:w="1278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702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17.9</w:t>
            </w:r>
          </w:p>
        </w:tc>
        <w:tc>
          <w:tcPr>
            <w:tcW w:w="1290" w:type="dxa"/>
            <w:shd w:val="clear" w:color="auto" w:fill="E6B8B8"/>
          </w:tcPr>
          <w:p w:rsidR="00830447" w:rsidRDefault="00830447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830447" w:rsidRDefault="00702574">
            <w:pPr>
              <w:pStyle w:val="TableParagraph"/>
              <w:ind w:right="3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</w:tr>
      <w:tr w:rsidR="00830447" w:rsidTr="00892383">
        <w:trPr>
          <w:trHeight w:val="820"/>
        </w:trPr>
        <w:tc>
          <w:tcPr>
            <w:tcW w:w="134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spacing w:before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34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30447" w:rsidRDefault="00022789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Quality of assets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78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90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</w:tr>
      <w:tr w:rsidR="00DF1BC0" w:rsidTr="00DF1BC0">
        <w:trPr>
          <w:trHeight w:val="820"/>
        </w:trPr>
        <w:tc>
          <w:tcPr>
            <w:tcW w:w="1340" w:type="dxa"/>
            <w:vMerge/>
            <w:tcBorders>
              <w:top w:val="nil"/>
            </w:tcBorders>
            <w:shd w:val="clear" w:color="auto" w:fill="E6B8B8"/>
          </w:tcPr>
          <w:p w:rsidR="00DF1BC0" w:rsidRDefault="00DF1BC0" w:rsidP="00DF1BC0"/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DF1BC0" w:rsidRDefault="00DF1BC0" w:rsidP="00DF1BC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>Share of non-performing loans in the loan portfolio (%)</w:t>
            </w:r>
          </w:p>
        </w:tc>
        <w:tc>
          <w:tcPr>
            <w:tcW w:w="125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25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25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278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290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DF1BC0" w:rsidRDefault="00DF1BC0" w:rsidP="00DF1BC0">
            <w:pPr>
              <w:pStyle w:val="TableParagraph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13.8</w:t>
            </w:r>
          </w:p>
        </w:tc>
      </w:tr>
      <w:tr w:rsidR="00DF1BC0" w:rsidTr="00DF1BC0">
        <w:trPr>
          <w:trHeight w:val="820"/>
        </w:trPr>
        <w:tc>
          <w:tcPr>
            <w:tcW w:w="1340" w:type="dxa"/>
            <w:vMerge/>
            <w:tcBorders>
              <w:top w:val="nil"/>
            </w:tcBorders>
            <w:shd w:val="clear" w:color="auto" w:fill="E6B8B8"/>
          </w:tcPr>
          <w:p w:rsidR="00DF1BC0" w:rsidRDefault="00DF1BC0" w:rsidP="00DF1BC0"/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DF1BC0" w:rsidRDefault="00DF1BC0" w:rsidP="00DF1BC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 xml:space="preserve">   Rate of change of non-performing loans (by the beginning of the year,%)</w:t>
            </w:r>
          </w:p>
        </w:tc>
        <w:tc>
          <w:tcPr>
            <w:tcW w:w="125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22.7</w:t>
            </w:r>
          </w:p>
        </w:tc>
        <w:tc>
          <w:tcPr>
            <w:tcW w:w="125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62.4</w:t>
            </w:r>
          </w:p>
        </w:tc>
        <w:tc>
          <w:tcPr>
            <w:tcW w:w="1259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23.1</w:t>
            </w:r>
          </w:p>
        </w:tc>
        <w:tc>
          <w:tcPr>
            <w:tcW w:w="1278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1BC0" w:rsidRDefault="00DF1BC0" w:rsidP="00DF1BC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-2.4</w:t>
            </w:r>
          </w:p>
        </w:tc>
        <w:tc>
          <w:tcPr>
            <w:tcW w:w="1290" w:type="dxa"/>
            <w:shd w:val="clear" w:color="auto" w:fill="F1DCDB"/>
          </w:tcPr>
          <w:p w:rsidR="00DF1BC0" w:rsidRDefault="00DF1BC0" w:rsidP="00DF1BC0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DF1BC0" w:rsidRDefault="00DF1BC0" w:rsidP="00DF1BC0">
            <w:pPr>
              <w:pStyle w:val="TableParagraph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10.5</w:t>
            </w:r>
          </w:p>
        </w:tc>
      </w:tr>
      <w:tr w:rsidR="00830447" w:rsidTr="00892383">
        <w:trPr>
          <w:trHeight w:val="820"/>
        </w:trPr>
        <w:tc>
          <w:tcPr>
            <w:tcW w:w="134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702574">
            <w:pPr>
              <w:pStyle w:val="TableParagraph"/>
              <w:spacing w:before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34" w:type="dxa"/>
            <w:shd w:val="clear" w:color="auto" w:fill="E6B8B8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30447" w:rsidRDefault="00696DF2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Profitability</w:t>
            </w: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59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78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  <w:tc>
          <w:tcPr>
            <w:tcW w:w="1290" w:type="dxa"/>
            <w:shd w:val="clear" w:color="auto" w:fill="E6B8B8"/>
          </w:tcPr>
          <w:p w:rsidR="00830447" w:rsidRDefault="00830447">
            <w:pPr>
              <w:pStyle w:val="TableParagraph"/>
              <w:jc w:val="left"/>
            </w:pPr>
          </w:p>
        </w:tc>
      </w:tr>
      <w:tr w:rsidR="00B34330" w:rsidTr="0037066C">
        <w:trPr>
          <w:trHeight w:val="820"/>
        </w:trPr>
        <w:tc>
          <w:tcPr>
            <w:tcW w:w="1340" w:type="dxa"/>
            <w:vMerge/>
            <w:tcBorders>
              <w:top w:val="nil"/>
            </w:tcBorders>
            <w:shd w:val="clear" w:color="auto" w:fill="E6B8B8"/>
          </w:tcPr>
          <w:p w:rsidR="00B34330" w:rsidRDefault="00B34330" w:rsidP="00B34330"/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B34330" w:rsidRDefault="00B34330" w:rsidP="00B3433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 xml:space="preserve">   Ratio of Net Profit to Assets (%)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8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-5.3</w:t>
            </w:r>
          </w:p>
        </w:tc>
        <w:tc>
          <w:tcPr>
            <w:tcW w:w="1290" w:type="dxa"/>
            <w:shd w:val="clear" w:color="auto" w:fill="F1DCDB"/>
          </w:tcPr>
          <w:p w:rsidR="00B34330" w:rsidRDefault="00B34330" w:rsidP="00B34330">
            <w:pPr>
              <w:pStyle w:val="TableParagraph"/>
              <w:jc w:val="left"/>
              <w:rPr>
                <w:sz w:val="26"/>
              </w:rPr>
            </w:pPr>
          </w:p>
          <w:p w:rsidR="00B34330" w:rsidRDefault="00B34330" w:rsidP="00B34330">
            <w:pPr>
              <w:pStyle w:val="TableParagraph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3.2</w:t>
            </w:r>
          </w:p>
        </w:tc>
      </w:tr>
      <w:tr w:rsidR="00B34330" w:rsidTr="0037066C">
        <w:trPr>
          <w:trHeight w:val="820"/>
        </w:trPr>
        <w:tc>
          <w:tcPr>
            <w:tcW w:w="1340" w:type="dxa"/>
            <w:vMerge/>
            <w:tcBorders>
              <w:top w:val="nil"/>
            </w:tcBorders>
            <w:shd w:val="clear" w:color="auto" w:fill="E6B8B8"/>
          </w:tcPr>
          <w:p w:rsidR="00B34330" w:rsidRDefault="00B34330" w:rsidP="00B34330"/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B34330" w:rsidRDefault="00B34330" w:rsidP="00B3433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 xml:space="preserve">   Ratio of Net Profit to Total Equity (%)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278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-68.4</w:t>
            </w:r>
          </w:p>
        </w:tc>
        <w:tc>
          <w:tcPr>
            <w:tcW w:w="1290" w:type="dxa"/>
            <w:shd w:val="clear" w:color="auto" w:fill="F1DCDB"/>
          </w:tcPr>
          <w:p w:rsidR="00B34330" w:rsidRDefault="00B34330" w:rsidP="00B34330">
            <w:pPr>
              <w:pStyle w:val="TableParagraph"/>
              <w:jc w:val="left"/>
              <w:rPr>
                <w:sz w:val="26"/>
              </w:rPr>
            </w:pPr>
          </w:p>
          <w:p w:rsidR="00B34330" w:rsidRDefault="00B34330" w:rsidP="00B34330">
            <w:pPr>
              <w:pStyle w:val="TableParagraph"/>
              <w:ind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23.8</w:t>
            </w:r>
          </w:p>
        </w:tc>
      </w:tr>
      <w:tr w:rsidR="00B34330" w:rsidTr="00485915">
        <w:trPr>
          <w:trHeight w:val="820"/>
        </w:trPr>
        <w:tc>
          <w:tcPr>
            <w:tcW w:w="1340" w:type="dxa"/>
            <w:vMerge/>
            <w:tcBorders>
              <w:top w:val="nil"/>
            </w:tcBorders>
            <w:shd w:val="clear" w:color="auto" w:fill="E6B8B8"/>
          </w:tcPr>
          <w:p w:rsidR="00B34330" w:rsidRDefault="00B34330" w:rsidP="00B34330"/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B34330" w:rsidRDefault="00B34330" w:rsidP="00B3433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 xml:space="preserve">   Ratio of interest margin to net operating profit (%)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109.0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155.5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151.7</w:t>
            </w:r>
          </w:p>
        </w:tc>
        <w:tc>
          <w:tcPr>
            <w:tcW w:w="1278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-216.4</w:t>
            </w:r>
          </w:p>
        </w:tc>
        <w:tc>
          <w:tcPr>
            <w:tcW w:w="1290" w:type="dxa"/>
            <w:shd w:val="clear" w:color="auto" w:fill="F1DCDB"/>
          </w:tcPr>
          <w:p w:rsidR="00B34330" w:rsidRDefault="00B34330" w:rsidP="00B34330">
            <w:pPr>
              <w:pStyle w:val="TableParagraph"/>
              <w:jc w:val="left"/>
              <w:rPr>
                <w:sz w:val="26"/>
              </w:rPr>
            </w:pPr>
          </w:p>
          <w:p w:rsidR="00B34330" w:rsidRDefault="00B34330" w:rsidP="00B34330">
            <w:pPr>
              <w:pStyle w:val="TableParagraph"/>
              <w:spacing w:before="1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104.6</w:t>
            </w:r>
          </w:p>
        </w:tc>
      </w:tr>
      <w:tr w:rsidR="00B34330" w:rsidTr="00485915">
        <w:trPr>
          <w:trHeight w:val="820"/>
        </w:trPr>
        <w:tc>
          <w:tcPr>
            <w:tcW w:w="1340" w:type="dxa"/>
            <w:vMerge/>
            <w:tcBorders>
              <w:top w:val="nil"/>
            </w:tcBorders>
            <w:shd w:val="clear" w:color="auto" w:fill="E6B8B8"/>
          </w:tcPr>
          <w:p w:rsidR="00B34330" w:rsidRDefault="00B34330" w:rsidP="00B34330"/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vAlign w:val="center"/>
          </w:tcPr>
          <w:p w:rsidR="00B34330" w:rsidRDefault="00B34330" w:rsidP="00B3433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</w:rPr>
              <w:t xml:space="preserve">   Ratio of net non-interest income to net operating profit (%)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-9.0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-55.5</w:t>
            </w:r>
          </w:p>
        </w:tc>
        <w:tc>
          <w:tcPr>
            <w:tcW w:w="1259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-51.7</w:t>
            </w:r>
          </w:p>
        </w:tc>
        <w:tc>
          <w:tcPr>
            <w:tcW w:w="1278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B34330" w:rsidRDefault="00B34330" w:rsidP="00B34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316.4</w:t>
            </w:r>
          </w:p>
        </w:tc>
        <w:tc>
          <w:tcPr>
            <w:tcW w:w="1290" w:type="dxa"/>
            <w:shd w:val="clear" w:color="auto" w:fill="F1DCDB"/>
          </w:tcPr>
          <w:p w:rsidR="00B34330" w:rsidRDefault="00B34330" w:rsidP="00B34330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B34330" w:rsidRDefault="00B34330" w:rsidP="00B34330">
            <w:pPr>
              <w:pStyle w:val="TableParagraph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-4.6</w:t>
            </w:r>
          </w:p>
        </w:tc>
      </w:tr>
    </w:tbl>
    <w:p w:rsidR="00830447" w:rsidRDefault="00830447">
      <w:pPr>
        <w:rPr>
          <w:rFonts w:ascii="Arial"/>
          <w:sz w:val="20"/>
        </w:rPr>
        <w:sectPr w:rsidR="00830447">
          <w:pgSz w:w="14400" w:h="10800" w:orient="landscape"/>
          <w:pgMar w:top="1000" w:right="240" w:bottom="560" w:left="600" w:header="0" w:footer="365" w:gutter="0"/>
          <w:cols w:space="720"/>
        </w:sectPr>
      </w:pPr>
    </w:p>
    <w:tbl>
      <w:tblPr>
        <w:tblW w:w="0" w:type="auto"/>
        <w:tblInd w:w="-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982"/>
        <w:gridCol w:w="1279"/>
        <w:gridCol w:w="1279"/>
        <w:gridCol w:w="1279"/>
        <w:gridCol w:w="1508"/>
        <w:gridCol w:w="1360"/>
      </w:tblGrid>
      <w:tr w:rsidR="00830447" w:rsidTr="00696DF2">
        <w:trPr>
          <w:trHeight w:val="680"/>
        </w:trPr>
        <w:tc>
          <w:tcPr>
            <w:tcW w:w="1440" w:type="dxa"/>
            <w:shd w:val="clear" w:color="auto" w:fill="E6B8B8"/>
          </w:tcPr>
          <w:p w:rsidR="00830447" w:rsidRPr="00696DF2" w:rsidRDefault="00696DF2">
            <w:pPr>
              <w:pStyle w:val="TableParagraph"/>
              <w:spacing w:before="205"/>
              <w:ind w:left="214" w:right="214"/>
              <w:jc w:val="center"/>
              <w:rPr>
                <w:b/>
                <w:sz w:val="24"/>
                <w:lang w:val="az-Latn-AZ"/>
              </w:rPr>
            </w:pPr>
            <w:r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4982" w:type="dxa"/>
            <w:shd w:val="clear" w:color="auto" w:fill="E6B8B8"/>
          </w:tcPr>
          <w:p w:rsidR="00830447" w:rsidRDefault="00696DF2">
            <w:pPr>
              <w:pStyle w:val="TableParagraph"/>
              <w:spacing w:before="205"/>
              <w:ind w:left="1894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External Sec</w:t>
            </w:r>
            <w:r w:rsidR="00702574">
              <w:rPr>
                <w:b/>
                <w:sz w:val="24"/>
              </w:rPr>
              <w:t>tor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05"/>
              <w:ind w:left="3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05"/>
              <w:ind w:left="3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05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508" w:type="dxa"/>
            <w:shd w:val="clear" w:color="auto" w:fill="E6B8B8"/>
          </w:tcPr>
          <w:p w:rsidR="00830447" w:rsidRDefault="00702574">
            <w:pPr>
              <w:pStyle w:val="TableParagraph"/>
              <w:spacing w:before="205"/>
              <w:ind w:left="485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360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830447" w:rsidRDefault="00702574">
            <w:pPr>
              <w:pStyle w:val="TableParagraph"/>
              <w:ind w:left="23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 9 ay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82" w:type="dxa"/>
            <w:shd w:val="clear" w:color="auto" w:fill="E6B8B8"/>
          </w:tcPr>
          <w:p w:rsidR="00830447" w:rsidRDefault="00702574" w:rsidP="00036B63">
            <w:pPr>
              <w:pStyle w:val="TableParagraph"/>
              <w:spacing w:before="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036B63">
              <w:rPr>
                <w:b/>
                <w:sz w:val="24"/>
              </w:rPr>
              <w:t>urrent</w:t>
            </w:r>
            <w:r>
              <w:rPr>
                <w:b/>
                <w:sz w:val="24"/>
              </w:rPr>
              <w:t xml:space="preserve"> </w:t>
            </w:r>
            <w:r w:rsidR="00036B63">
              <w:rPr>
                <w:b/>
                <w:sz w:val="24"/>
              </w:rPr>
              <w:t>Operations Balance</w:t>
            </w:r>
            <w:r>
              <w:rPr>
                <w:b/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8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167.3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8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15039.6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8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-222.5</w:t>
            </w:r>
          </w:p>
        </w:tc>
        <w:tc>
          <w:tcPr>
            <w:tcW w:w="1508" w:type="dxa"/>
            <w:shd w:val="clear" w:color="auto" w:fill="E6B8B8"/>
          </w:tcPr>
          <w:p w:rsidR="00830447" w:rsidRDefault="00702574">
            <w:pPr>
              <w:pStyle w:val="TableParagraph"/>
              <w:spacing w:before="28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-1363.4</w:t>
            </w:r>
          </w:p>
        </w:tc>
        <w:tc>
          <w:tcPr>
            <w:tcW w:w="1360" w:type="dxa"/>
            <w:shd w:val="clear" w:color="auto" w:fill="E6B8B8"/>
          </w:tcPr>
          <w:p w:rsidR="00830447" w:rsidRDefault="00702574">
            <w:pPr>
              <w:pStyle w:val="TableParagraph"/>
              <w:spacing w:before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1062.7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36B63">
            <w:pPr>
              <w:pStyle w:val="TableParagraph"/>
              <w:spacing w:before="28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Current balance on oil-gas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1659.8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19862.8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6548.9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4395.3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5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5001.1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36B63" w:rsidP="00036B63">
            <w:pPr>
              <w:pStyle w:val="TableParagraph"/>
              <w:spacing w:before="28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Current balance on non-oil sector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-1492.5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-4823.2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-6771.4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-5758.7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5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-3938.4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36B63" w:rsidP="00036B63">
            <w:pPr>
              <w:pStyle w:val="TableParagraph"/>
              <w:spacing w:before="28"/>
              <w:jc w:val="left"/>
              <w:rPr>
                <w:sz w:val="24"/>
              </w:rPr>
            </w:pPr>
            <w:r>
              <w:rPr>
                <w:sz w:val="24"/>
              </w:rPr>
              <w:t>External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trade balance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3299.1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19730.4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5812.4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4206.3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4401.6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36B63">
            <w:pPr>
              <w:pStyle w:val="TableParagraph"/>
              <w:spacing w:before="28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Goods export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7649.0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26476.0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15586.1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13210.5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5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10791.5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36B63" w:rsidP="00036B63">
            <w:pPr>
              <w:pStyle w:val="TableParagraph"/>
              <w:spacing w:before="28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Non-oil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765.8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1368.5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1498.2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1160.1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5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1029.5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B34330">
            <w:pPr>
              <w:pStyle w:val="TableParagraph"/>
              <w:spacing w:before="28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 w:rsidR="003A1003">
              <w:rPr>
                <w:sz w:val="24"/>
              </w:rPr>
              <w:t>mport of goods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-4349.9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-6745.6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-9773.6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-9004.2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5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-6389.8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802AE0" w:rsidP="00802AE0">
            <w:pPr>
              <w:pStyle w:val="TableParagraph"/>
              <w:spacing w:before="28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Non-oil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-2422.6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-5908.0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-7370.6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-6675.5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5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-5413.8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802AE0">
            <w:pPr>
              <w:pStyle w:val="TableParagraph"/>
              <w:spacing w:before="28"/>
              <w:jc w:val="left"/>
              <w:rPr>
                <w:sz w:val="24"/>
              </w:rPr>
            </w:pPr>
            <w:r>
              <w:rPr>
                <w:sz w:val="24"/>
              </w:rPr>
              <w:t>Services Balance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-1970.0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-1732.9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-4228.9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-3154.5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-2582.3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22789" w:rsidP="00022789">
            <w:pPr>
              <w:pStyle w:val="TableParagraph"/>
              <w:spacing w:before="29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Transportation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services balance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-139.7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-156.7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508.6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176.0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-45.9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22789" w:rsidP="00022789">
            <w:pPr>
              <w:pStyle w:val="TableParagraph"/>
              <w:spacing w:before="28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Tourism</w:t>
            </w:r>
            <w:r w:rsidR="00702574">
              <w:rPr>
                <w:sz w:val="24"/>
              </w:rPr>
              <w:t xml:space="preserve"> </w:t>
            </w:r>
            <w:r>
              <w:rPr>
                <w:sz w:val="24"/>
              </w:rPr>
              <w:t>services balance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-86.3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-124.3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-293.6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219.4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331.2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22789">
            <w:pPr>
              <w:pStyle w:val="TableParagraph"/>
              <w:spacing w:before="29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Construction services balance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-1489.4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-172.6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-3496.7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-2944.9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-1976.8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746AE0" w:rsidP="00746AE0">
            <w:pPr>
              <w:pStyle w:val="TableParagraph"/>
              <w:spacing w:before="28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Other services balance</w:t>
            </w:r>
            <w:r w:rsidR="00702574">
              <w:rPr>
                <w:sz w:val="24"/>
              </w:rPr>
              <w:t xml:space="preserve"> 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-254.6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-1279.2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-947.2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8"/>
              <w:ind w:right="-2"/>
              <w:rPr>
                <w:sz w:val="24"/>
              </w:rPr>
            </w:pPr>
            <w:r>
              <w:rPr>
                <w:sz w:val="24"/>
              </w:rPr>
              <w:t>-605.0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-890.7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B34330">
            <w:pPr>
              <w:pStyle w:val="TableParagraph"/>
              <w:spacing w:before="2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938F3">
              <w:rPr>
                <w:sz w:val="24"/>
              </w:rPr>
              <w:t>I</w:t>
            </w:r>
            <w:r w:rsidR="00746AE0">
              <w:rPr>
                <w:sz w:val="24"/>
              </w:rPr>
              <w:t>ncomes balance</w:t>
            </w:r>
            <w:r w:rsidR="00702574">
              <w:rPr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-1161.8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-2957.9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-1806.1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-2415.2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-756.7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830447" w:rsidRDefault="0070257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82" w:type="dxa"/>
            <w:shd w:val="clear" w:color="auto" w:fill="E6B8B8"/>
          </w:tcPr>
          <w:p w:rsidR="00830447" w:rsidRDefault="00701664" w:rsidP="00701664">
            <w:pPr>
              <w:pStyle w:val="TableParagraph"/>
              <w:spacing w:before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702574">
              <w:rPr>
                <w:b/>
                <w:sz w:val="24"/>
              </w:rPr>
              <w:t xml:space="preserve">apital </w:t>
            </w:r>
            <w:r>
              <w:rPr>
                <w:b/>
                <w:sz w:val="24"/>
              </w:rPr>
              <w:t>and</w:t>
            </w:r>
            <w:r w:rsidR="0070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financial mobility count</w:t>
            </w:r>
            <w:r w:rsidR="00702574">
              <w:rPr>
                <w:b/>
                <w:sz w:val="24"/>
              </w:rPr>
              <w:t xml:space="preserve"> (mln. USD)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9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566.0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9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-3589.7</w:t>
            </w:r>
          </w:p>
        </w:tc>
        <w:tc>
          <w:tcPr>
            <w:tcW w:w="1279" w:type="dxa"/>
            <w:shd w:val="clear" w:color="auto" w:fill="E6B8B8"/>
          </w:tcPr>
          <w:p w:rsidR="00830447" w:rsidRDefault="00702574">
            <w:pPr>
              <w:pStyle w:val="TableParagraph"/>
              <w:spacing w:before="29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-9069.1</w:t>
            </w:r>
          </w:p>
        </w:tc>
        <w:tc>
          <w:tcPr>
            <w:tcW w:w="1508" w:type="dxa"/>
            <w:shd w:val="clear" w:color="auto" w:fill="E6B8B8"/>
          </w:tcPr>
          <w:p w:rsidR="00830447" w:rsidRDefault="00702574">
            <w:pPr>
              <w:pStyle w:val="TableParagraph"/>
              <w:spacing w:before="29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-2801.7</w:t>
            </w:r>
          </w:p>
        </w:tc>
        <w:tc>
          <w:tcPr>
            <w:tcW w:w="1360" w:type="dxa"/>
            <w:shd w:val="clear" w:color="auto" w:fill="E6B8B8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379.6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701664">
            <w:pPr>
              <w:pStyle w:val="TableParagraph"/>
              <w:spacing w:before="29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Direct investments</w:t>
            </w:r>
            <w:r w:rsidR="00304B41">
              <w:rPr>
                <w:sz w:val="24"/>
              </w:rPr>
              <w:t xml:space="preserve"> balance</w:t>
            </w:r>
            <w:r w:rsidR="00702574">
              <w:rPr>
                <w:sz w:val="24"/>
              </w:rPr>
              <w:t xml:space="preserve"> (BİB)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458.2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329.2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785.9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1926.0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786.5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304B41" w:rsidP="00304B41">
            <w:pPr>
              <w:pStyle w:val="TableParagraph"/>
              <w:spacing w:before="29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BİB on non</w:t>
            </w:r>
            <w:r w:rsidR="00702574">
              <w:rPr>
                <w:sz w:val="24"/>
              </w:rPr>
              <w:t>-</w:t>
            </w:r>
            <w:r>
              <w:rPr>
                <w:sz w:val="24"/>
              </w:rPr>
              <w:t>oil sec</w:t>
            </w:r>
            <w:r w:rsidR="00702574">
              <w:rPr>
                <w:sz w:val="24"/>
              </w:rPr>
              <w:t>tor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217.0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577.8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-635.6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1150.4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260.7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B938F3" w:rsidP="00B938F3">
            <w:pPr>
              <w:pStyle w:val="TableParagraph"/>
              <w:spacing w:before="29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Portfo</w:t>
            </w:r>
            <w:r w:rsidR="00702574">
              <w:rPr>
                <w:sz w:val="24"/>
              </w:rPr>
              <w:t>l</w:t>
            </w:r>
            <w:r>
              <w:rPr>
                <w:sz w:val="24"/>
              </w:rPr>
              <w:t>io</w:t>
            </w:r>
            <w:r w:rsidR="000552B5">
              <w:rPr>
                <w:sz w:val="24"/>
              </w:rPr>
              <w:t xml:space="preserve"> investments</w:t>
            </w:r>
            <w:r w:rsidR="00702574">
              <w:rPr>
                <w:sz w:val="24"/>
              </w:rPr>
              <w:t xml:space="preserve"> balan</w:t>
            </w:r>
            <w:r>
              <w:rPr>
                <w:sz w:val="24"/>
              </w:rPr>
              <w:t>ce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30.5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-138.8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392.4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487.9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6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2768.2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552B5" w:rsidP="000552B5">
            <w:pPr>
              <w:pStyle w:val="TableParagraph"/>
              <w:spacing w:before="29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Balance on other investments</w:t>
            </w:r>
            <w:r w:rsidR="00702574">
              <w:rPr>
                <w:sz w:val="24"/>
              </w:rPr>
              <w:t xml:space="preserve"> (DİB)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35.4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-3796.4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-10205.5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-5176.1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7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-3280.4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0552B5" w:rsidP="00607A0A">
            <w:pPr>
              <w:pStyle w:val="TableParagraph"/>
              <w:spacing w:before="29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DİB on non</w:t>
            </w:r>
            <w:r w:rsidR="00702574">
              <w:rPr>
                <w:sz w:val="24"/>
              </w:rPr>
              <w:t>-</w:t>
            </w:r>
            <w:r w:rsidR="00607A0A">
              <w:rPr>
                <w:sz w:val="24"/>
              </w:rPr>
              <w:t>oil sector</w:t>
            </w:r>
            <w:r w:rsidR="00702574">
              <w:rPr>
                <w:sz w:val="24"/>
              </w:rPr>
              <w:t xml:space="preserve"> DİB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-732.4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-3698.1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-11590.5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-4729.9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7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-4104.0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6E51AC">
            <w:pPr>
              <w:pStyle w:val="TableParagraph"/>
              <w:spacing w:before="29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Equity movement </w:t>
            </w:r>
            <w:r w:rsidR="00746AE0">
              <w:rPr>
                <w:sz w:val="24"/>
              </w:rPr>
              <w:t>balance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40.9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-43.9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29"/>
              <w:ind w:right="-2"/>
              <w:rPr>
                <w:sz w:val="24"/>
              </w:rPr>
            </w:pPr>
            <w:r>
              <w:rPr>
                <w:sz w:val="24"/>
              </w:rPr>
              <w:t>-40.1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7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100.5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4982" w:type="dxa"/>
            <w:shd w:val="clear" w:color="auto" w:fill="F1DCDB"/>
          </w:tcPr>
          <w:p w:rsidR="00830447" w:rsidRDefault="00701664">
            <w:pPr>
              <w:pStyle w:val="TableParagraph"/>
              <w:spacing w:before="3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Oil bonus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3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7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1.4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shd w:val="clear" w:color="auto" w:fill="E6B8B8"/>
          </w:tcPr>
          <w:p w:rsidR="00830447" w:rsidRDefault="00702574">
            <w:pPr>
              <w:pStyle w:val="TableParagraph"/>
              <w:spacing w:before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82" w:type="dxa"/>
            <w:shd w:val="clear" w:color="auto" w:fill="F1DCDB"/>
          </w:tcPr>
          <w:p w:rsidR="00830447" w:rsidRDefault="00701664" w:rsidP="00701664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Change of reserve assets </w:t>
            </w:r>
            <w:r w:rsidR="00702574">
              <w:rPr>
                <w:b/>
                <w:sz w:val="24"/>
              </w:rPr>
              <w:t>(mln.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607.7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10461.2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-11329.0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-539.2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7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2202.6</w:t>
            </w:r>
          </w:p>
        </w:tc>
      </w:tr>
      <w:tr w:rsidR="00830447" w:rsidTr="00696DF2">
        <w:trPr>
          <w:trHeight w:val="320"/>
        </w:trPr>
        <w:tc>
          <w:tcPr>
            <w:tcW w:w="1440" w:type="dxa"/>
            <w:shd w:val="clear" w:color="auto" w:fill="E6B8B8"/>
          </w:tcPr>
          <w:p w:rsidR="00830447" w:rsidRDefault="00702574">
            <w:pPr>
              <w:pStyle w:val="TableParagraph"/>
              <w:spacing w:before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82" w:type="dxa"/>
            <w:shd w:val="clear" w:color="auto" w:fill="F1DCDB"/>
          </w:tcPr>
          <w:p w:rsidR="00830447" w:rsidRDefault="00B34330" w:rsidP="00B34330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 w:rsidRPr="00B34330">
              <w:rPr>
                <w:b/>
                <w:bCs/>
                <w:sz w:val="24"/>
              </w:rPr>
              <w:t>Balancing agents (mln USD)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-125.6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-988.7</w:t>
            </w:r>
          </w:p>
        </w:tc>
        <w:tc>
          <w:tcPr>
            <w:tcW w:w="1279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-2037.4</w:t>
            </w:r>
          </w:p>
        </w:tc>
        <w:tc>
          <w:tcPr>
            <w:tcW w:w="1508" w:type="dxa"/>
            <w:shd w:val="clear" w:color="auto" w:fill="F1DCDB"/>
          </w:tcPr>
          <w:p w:rsidR="00830447" w:rsidRDefault="00702574">
            <w:pPr>
              <w:pStyle w:val="TableParagraph"/>
              <w:spacing w:before="3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3625.9</w:t>
            </w:r>
          </w:p>
        </w:tc>
        <w:tc>
          <w:tcPr>
            <w:tcW w:w="1360" w:type="dxa"/>
            <w:shd w:val="clear" w:color="auto" w:fill="F1DCDB"/>
          </w:tcPr>
          <w:p w:rsidR="00830447" w:rsidRDefault="00702574">
            <w:pPr>
              <w:pStyle w:val="TableParagraph"/>
              <w:spacing w:before="57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760.3</w:t>
            </w:r>
          </w:p>
        </w:tc>
      </w:tr>
    </w:tbl>
    <w:p w:rsidR="00830447" w:rsidRDefault="00830447">
      <w:pPr>
        <w:rPr>
          <w:rFonts w:ascii="Arial"/>
          <w:sz w:val="20"/>
        </w:rPr>
        <w:sectPr w:rsidR="00830447">
          <w:footerReference w:type="default" r:id="rId7"/>
          <w:pgSz w:w="14400" w:h="10800" w:orient="landscape"/>
          <w:pgMar w:top="580" w:right="460" w:bottom="560" w:left="840" w:header="0" w:footer="369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6187"/>
        <w:gridCol w:w="1155"/>
        <w:gridCol w:w="1155"/>
        <w:gridCol w:w="1155"/>
        <w:gridCol w:w="1229"/>
        <w:gridCol w:w="1069"/>
      </w:tblGrid>
      <w:tr w:rsidR="00830447" w:rsidTr="00464FA7">
        <w:trPr>
          <w:trHeight w:val="1060"/>
        </w:trPr>
        <w:tc>
          <w:tcPr>
            <w:tcW w:w="1250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830447" w:rsidRDefault="00464FA7">
            <w:pPr>
              <w:pStyle w:val="TableParagraph"/>
              <w:ind w:left="17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6187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830447" w:rsidRDefault="00F62C15" w:rsidP="00F62C15">
            <w:pPr>
              <w:pStyle w:val="TableParagraph"/>
              <w:ind w:right="25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 w:rsidR="00464FA7">
              <w:rPr>
                <w:b/>
                <w:sz w:val="24"/>
              </w:rPr>
              <w:t>Fiscal Sec</w:t>
            </w:r>
            <w:r w:rsidR="00702574">
              <w:rPr>
                <w:b/>
                <w:sz w:val="24"/>
              </w:rPr>
              <w:t>tor</w:t>
            </w:r>
          </w:p>
        </w:tc>
        <w:tc>
          <w:tcPr>
            <w:tcW w:w="1155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830447" w:rsidRDefault="00702574">
            <w:pPr>
              <w:pStyle w:val="TableParagraph"/>
              <w:ind w:left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155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830447" w:rsidRDefault="00702574">
            <w:pPr>
              <w:pStyle w:val="TableParagraph"/>
              <w:ind w:left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155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830447" w:rsidRDefault="00702574">
            <w:pPr>
              <w:pStyle w:val="TableParagraph"/>
              <w:ind w:left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229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830447" w:rsidRDefault="00702574">
            <w:pPr>
              <w:pStyle w:val="TableParagraph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830447" w:rsidRDefault="00702574">
            <w:pPr>
              <w:pStyle w:val="TableParagraph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87" w:type="dxa"/>
            <w:shd w:val="clear" w:color="auto" w:fill="E6B8B8"/>
          </w:tcPr>
          <w:p w:rsidR="00830447" w:rsidRDefault="00746AE0" w:rsidP="00746AE0">
            <w:pPr>
              <w:pStyle w:val="TableParagraph"/>
              <w:spacing w:before="200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Incomes of state budget</w:t>
            </w:r>
            <w:r w:rsidR="00702574"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2055.2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11402.5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17153.2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17501.2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16446.9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187" w:type="dxa"/>
            <w:shd w:val="clear" w:color="auto" w:fill="F1DCDB"/>
          </w:tcPr>
          <w:p w:rsidR="00830447" w:rsidRDefault="00D114ED" w:rsidP="00D114ED">
            <w:pPr>
              <w:pStyle w:val="TableParagraph"/>
              <w:spacing w:before="201"/>
              <w:ind w:left="182"/>
              <w:jc w:val="left"/>
              <w:rPr>
                <w:sz w:val="24"/>
              </w:rPr>
            </w:pPr>
            <w:r w:rsidRPr="00D114ED">
              <w:rPr>
                <w:sz w:val="24"/>
              </w:rPr>
              <w:t xml:space="preserve">Ratio to GDP of State Budget Revenues </w:t>
            </w:r>
            <w:r>
              <w:rPr>
                <w:sz w:val="24"/>
              </w:rPr>
              <w:t>(%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ind w:right="2"/>
              <w:rPr>
                <w:sz w:val="24"/>
              </w:rPr>
            </w:pPr>
            <w:r>
              <w:rPr>
                <w:sz w:val="24"/>
              </w:rPr>
              <w:t>26.9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ind w:right="2"/>
              <w:rPr>
                <w:sz w:val="24"/>
              </w:rPr>
            </w:pPr>
            <w:r>
              <w:rPr>
                <w:sz w:val="24"/>
              </w:rPr>
              <w:t>31.6</w:t>
            </w:r>
          </w:p>
        </w:tc>
        <w:tc>
          <w:tcPr>
            <w:tcW w:w="1229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ind w:right="1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069" w:type="dxa"/>
            <w:shd w:val="clear" w:color="auto" w:fill="F1DCDB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23.5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87" w:type="dxa"/>
            <w:shd w:val="clear" w:color="auto" w:fill="E6B8B8"/>
          </w:tcPr>
          <w:p w:rsidR="00830447" w:rsidRDefault="00701664" w:rsidP="00746AE0">
            <w:pPr>
              <w:pStyle w:val="TableParagraph"/>
              <w:spacing w:before="201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Expens</w:t>
            </w:r>
            <w:r w:rsidR="00746AE0">
              <w:rPr>
                <w:b/>
                <w:sz w:val="24"/>
              </w:rPr>
              <w:t>es of state budget (mln. manats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2140.7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11766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17786.8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17742.4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17588.4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187" w:type="dxa"/>
            <w:shd w:val="clear" w:color="auto" w:fill="F1DCDB"/>
          </w:tcPr>
          <w:p w:rsidR="00830447" w:rsidRDefault="00176CC4" w:rsidP="00176CC4">
            <w:pPr>
              <w:pStyle w:val="TableParagraph"/>
              <w:spacing w:before="201"/>
              <w:ind w:left="182"/>
              <w:jc w:val="left"/>
              <w:rPr>
                <w:sz w:val="24"/>
              </w:rPr>
            </w:pPr>
            <w:r w:rsidRPr="00176CC4">
              <w:rPr>
                <w:sz w:val="24"/>
              </w:rPr>
              <w:t>Ratio</w:t>
            </w:r>
            <w:r>
              <w:t xml:space="preserve"> </w:t>
            </w:r>
            <w:r w:rsidRPr="00176CC4">
              <w:rPr>
                <w:sz w:val="24"/>
              </w:rPr>
              <w:t xml:space="preserve">to GDP of State Budget Expenditures </w:t>
            </w:r>
            <w:r w:rsidR="00702574">
              <w:rPr>
                <w:sz w:val="24"/>
              </w:rPr>
              <w:t>(%-lə)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ind w:right="2"/>
              <w:rPr>
                <w:sz w:val="24"/>
              </w:rPr>
            </w:pPr>
            <w:r>
              <w:rPr>
                <w:sz w:val="24"/>
              </w:rPr>
              <w:t>28.3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ind w:right="2"/>
              <w:rPr>
                <w:sz w:val="24"/>
              </w:rPr>
            </w:pPr>
            <w:r>
              <w:rPr>
                <w:sz w:val="24"/>
              </w:rPr>
              <w:t>32.7</w:t>
            </w:r>
          </w:p>
        </w:tc>
        <w:tc>
          <w:tcPr>
            <w:tcW w:w="1229" w:type="dxa"/>
            <w:shd w:val="clear" w:color="auto" w:fill="F1DCDB"/>
          </w:tcPr>
          <w:p w:rsidR="00830447" w:rsidRDefault="00702574">
            <w:pPr>
              <w:pStyle w:val="TableParagraph"/>
              <w:spacing w:before="201"/>
              <w:ind w:right="1"/>
              <w:rPr>
                <w:sz w:val="24"/>
              </w:rPr>
            </w:pPr>
            <w:r>
              <w:rPr>
                <w:sz w:val="24"/>
              </w:rPr>
              <w:t>29.6</w:t>
            </w:r>
          </w:p>
        </w:tc>
        <w:tc>
          <w:tcPr>
            <w:tcW w:w="1069" w:type="dxa"/>
            <w:shd w:val="clear" w:color="auto" w:fill="F1DCDB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25.1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vMerge w:val="restart"/>
            <w:shd w:val="clear" w:color="auto" w:fill="E6B8B8"/>
          </w:tcPr>
          <w:p w:rsidR="00830447" w:rsidRDefault="00830447">
            <w:pPr>
              <w:pStyle w:val="TableParagraph"/>
              <w:jc w:val="left"/>
              <w:rPr>
                <w:sz w:val="26"/>
              </w:rPr>
            </w:pPr>
          </w:p>
          <w:p w:rsidR="00830447" w:rsidRDefault="00830447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830447" w:rsidRDefault="0070257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7" w:type="dxa"/>
            <w:shd w:val="clear" w:color="auto" w:fill="E6B8B8"/>
          </w:tcPr>
          <w:p w:rsidR="00830447" w:rsidRDefault="00176CC4">
            <w:pPr>
              <w:pStyle w:val="TableParagraph"/>
              <w:spacing w:before="201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State budget deficit</w:t>
            </w:r>
            <w:r w:rsidR="0070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(mln. manats</w:t>
            </w:r>
            <w:r w:rsidR="00702574">
              <w:rPr>
                <w:b/>
                <w:sz w:val="24"/>
              </w:rPr>
              <w:t>)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-85.5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-363.5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-633.6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-241.2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-1141.5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vMerge/>
            <w:tcBorders>
              <w:top w:val="nil"/>
            </w:tcBorders>
            <w:shd w:val="clear" w:color="auto" w:fill="E6B8B8"/>
          </w:tcPr>
          <w:p w:rsidR="00830447" w:rsidRDefault="00830447"/>
        </w:tc>
        <w:tc>
          <w:tcPr>
            <w:tcW w:w="6187" w:type="dxa"/>
            <w:shd w:val="clear" w:color="auto" w:fill="F1DCDB"/>
          </w:tcPr>
          <w:p w:rsidR="00830447" w:rsidRDefault="00176CC4" w:rsidP="00176CC4">
            <w:pPr>
              <w:pStyle w:val="TableParagraph"/>
              <w:spacing w:before="202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Ratio to GDP of s</w:t>
            </w:r>
            <w:r w:rsidRPr="00176CC4">
              <w:rPr>
                <w:sz w:val="24"/>
              </w:rPr>
              <w:t>tate budget deficit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 w:rsidR="00702574">
              <w:rPr>
                <w:sz w:val="24"/>
              </w:rPr>
              <w:t>)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2"/>
              <w:ind w:right="2"/>
              <w:rPr>
                <w:sz w:val="24"/>
              </w:rPr>
            </w:pPr>
            <w:r>
              <w:rPr>
                <w:sz w:val="24"/>
              </w:rPr>
              <w:t>-0.7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2"/>
              <w:ind w:right="2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1155" w:type="dxa"/>
            <w:shd w:val="clear" w:color="auto" w:fill="F1DCDB"/>
          </w:tcPr>
          <w:p w:rsidR="00830447" w:rsidRDefault="00702574">
            <w:pPr>
              <w:pStyle w:val="TableParagraph"/>
              <w:spacing w:before="202"/>
              <w:ind w:right="2"/>
              <w:rPr>
                <w:sz w:val="24"/>
              </w:rPr>
            </w:pPr>
            <w:r>
              <w:rPr>
                <w:sz w:val="24"/>
              </w:rPr>
              <w:t>-1.2</w:t>
            </w:r>
          </w:p>
        </w:tc>
        <w:tc>
          <w:tcPr>
            <w:tcW w:w="1229" w:type="dxa"/>
            <w:shd w:val="clear" w:color="auto" w:fill="F1DCDB"/>
          </w:tcPr>
          <w:p w:rsidR="00830447" w:rsidRDefault="00702574">
            <w:pPr>
              <w:pStyle w:val="TableParagraph"/>
              <w:spacing w:before="202"/>
              <w:ind w:right="1"/>
              <w:rPr>
                <w:sz w:val="24"/>
              </w:rPr>
            </w:pPr>
            <w:r>
              <w:rPr>
                <w:sz w:val="24"/>
              </w:rPr>
              <w:t>-0.4</w:t>
            </w:r>
          </w:p>
        </w:tc>
        <w:tc>
          <w:tcPr>
            <w:tcW w:w="1069" w:type="dxa"/>
            <w:shd w:val="clear" w:color="auto" w:fill="F1DCDB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5"/>
                <w:sz w:val="20"/>
              </w:rPr>
              <w:t>-1.6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87" w:type="dxa"/>
            <w:shd w:val="clear" w:color="auto" w:fill="E6B8B8"/>
          </w:tcPr>
          <w:p w:rsidR="00830447" w:rsidRDefault="00C7016B" w:rsidP="00176CC4">
            <w:pPr>
              <w:pStyle w:val="TableParagraph"/>
              <w:spacing w:before="202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176CC4">
              <w:rPr>
                <w:b/>
                <w:sz w:val="24"/>
              </w:rPr>
              <w:t xml:space="preserve">ncomes of State Oil Fund </w:t>
            </w:r>
            <w:r w:rsidR="00702574">
              <w:rPr>
                <w:b/>
                <w:sz w:val="24"/>
              </w:rPr>
              <w:t>(mln. AZN)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rPr>
                <w:b/>
                <w:sz w:val="24"/>
              </w:rPr>
            </w:pPr>
            <w:r>
              <w:rPr>
                <w:b/>
                <w:sz w:val="24"/>
              </w:rPr>
              <w:t>660.0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13088.5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7721.1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9410.2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12137.5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87" w:type="dxa"/>
            <w:shd w:val="clear" w:color="auto" w:fill="E6B8B8"/>
          </w:tcPr>
          <w:p w:rsidR="00830447" w:rsidRDefault="00C7016B">
            <w:pPr>
              <w:pStyle w:val="TableParagraph"/>
              <w:spacing w:before="202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Pr="00C7016B">
              <w:rPr>
                <w:b/>
                <w:sz w:val="24"/>
              </w:rPr>
              <w:t>xpense</w:t>
            </w:r>
            <w:r>
              <w:rPr>
                <w:b/>
                <w:sz w:val="24"/>
              </w:rPr>
              <w:t>s of State Oil</w:t>
            </w:r>
            <w:r w:rsidR="00702574">
              <w:rPr>
                <w:b/>
                <w:sz w:val="24"/>
              </w:rPr>
              <w:t xml:space="preserve"> F</w:t>
            </w:r>
            <w:r>
              <w:rPr>
                <w:b/>
                <w:sz w:val="24"/>
              </w:rPr>
              <w:t xml:space="preserve">und </w:t>
            </w:r>
            <w:r w:rsidR="00702574">
              <w:rPr>
                <w:b/>
                <w:sz w:val="24"/>
              </w:rPr>
              <w:t xml:space="preserve"> </w:t>
            </w:r>
            <w:r w:rsidR="00701664">
              <w:rPr>
                <w:b/>
                <w:sz w:val="24"/>
              </w:rPr>
              <w:t xml:space="preserve"> </w:t>
            </w:r>
            <w:r w:rsidR="00702574">
              <w:rPr>
                <w:b/>
                <w:sz w:val="24"/>
              </w:rPr>
              <w:t>(mln. AZN)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233.0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6386.5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9187.7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9022.1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11015.5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87" w:type="dxa"/>
            <w:shd w:val="clear" w:color="auto" w:fill="E6B8B8"/>
          </w:tcPr>
          <w:p w:rsidR="00830447" w:rsidRDefault="00C7016B">
            <w:pPr>
              <w:pStyle w:val="TableParagraph"/>
              <w:spacing w:before="58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Transfers </w:t>
            </w:r>
            <w:r w:rsidR="00F62C15">
              <w:rPr>
                <w:b/>
                <w:sz w:val="24"/>
              </w:rPr>
              <w:t>to state budget from State Oil Fund</w:t>
            </w:r>
            <w:r w:rsidR="00702574">
              <w:rPr>
                <w:b/>
                <w:sz w:val="24"/>
              </w:rPr>
              <w:t xml:space="preserve"> (mln.</w:t>
            </w:r>
          </w:p>
          <w:p w:rsidR="00830447" w:rsidRDefault="00702574">
            <w:pPr>
              <w:pStyle w:val="TableParagraph"/>
              <w:spacing w:before="12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AZN)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rPr>
                <w:b/>
                <w:sz w:val="24"/>
              </w:rPr>
            </w:pPr>
            <w:r>
              <w:rPr>
                <w:b/>
                <w:sz w:val="24"/>
              </w:rPr>
              <w:t>150.0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5915.0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8130.0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7615.0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6100.0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187" w:type="dxa"/>
            <w:shd w:val="clear" w:color="auto" w:fill="E6B8B8"/>
          </w:tcPr>
          <w:p w:rsidR="00830447" w:rsidRDefault="00B34330">
            <w:pPr>
              <w:pStyle w:val="TableParagraph"/>
              <w:spacing w:before="58" w:line="249" w:lineRule="auto"/>
              <w:ind w:left="2"/>
              <w:jc w:val="left"/>
              <w:rPr>
                <w:b/>
                <w:sz w:val="24"/>
              </w:rPr>
            </w:pPr>
            <w:r w:rsidRPr="00B34330">
              <w:rPr>
                <w:b/>
                <w:sz w:val="24"/>
              </w:rPr>
              <w:t>Transfers to the CBA for the purpose of macroeconomic stability (mln.AZN)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3949.5</w:t>
            </w:r>
          </w:p>
        </w:tc>
      </w:tr>
      <w:tr w:rsidR="00830447" w:rsidTr="00464FA7">
        <w:trPr>
          <w:trHeight w:val="660"/>
        </w:trPr>
        <w:tc>
          <w:tcPr>
            <w:tcW w:w="1250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87" w:type="dxa"/>
            <w:shd w:val="clear" w:color="auto" w:fill="E6B8B8"/>
          </w:tcPr>
          <w:p w:rsidR="00830447" w:rsidRDefault="00F62C15" w:rsidP="00D618BA">
            <w:pPr>
              <w:pStyle w:val="TableParagraph"/>
              <w:spacing w:before="202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Capacity of </w:t>
            </w:r>
            <w:r w:rsidR="00D618BA">
              <w:rPr>
                <w:b/>
                <w:sz w:val="24"/>
              </w:rPr>
              <w:t>State</w:t>
            </w:r>
            <w:r w:rsidR="00702574">
              <w:rPr>
                <w:b/>
                <w:sz w:val="24"/>
              </w:rPr>
              <w:t xml:space="preserve"> </w:t>
            </w:r>
            <w:r w:rsidR="00D618BA">
              <w:rPr>
                <w:b/>
                <w:sz w:val="24"/>
              </w:rPr>
              <w:t>Oil Fund assets</w:t>
            </w:r>
            <w:r>
              <w:rPr>
                <w:b/>
                <w:sz w:val="24"/>
              </w:rPr>
              <w:t xml:space="preserve">  </w:t>
            </w:r>
            <w:r w:rsidR="00702574">
              <w:rPr>
                <w:b/>
                <w:sz w:val="24"/>
              </w:rPr>
              <w:t xml:space="preserve"> (mln. USD)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1394.0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22766.8</w:t>
            </w:r>
          </w:p>
        </w:tc>
        <w:tc>
          <w:tcPr>
            <w:tcW w:w="1155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33574.1</w:t>
            </w:r>
          </w:p>
        </w:tc>
        <w:tc>
          <w:tcPr>
            <w:tcW w:w="1229" w:type="dxa"/>
            <w:shd w:val="clear" w:color="auto" w:fill="E6B8B8"/>
          </w:tcPr>
          <w:p w:rsidR="00830447" w:rsidRDefault="00702574">
            <w:pPr>
              <w:pStyle w:val="TableParagraph"/>
              <w:spacing w:before="20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33147.0</w:t>
            </w:r>
          </w:p>
        </w:tc>
        <w:tc>
          <w:tcPr>
            <w:tcW w:w="1069" w:type="dxa"/>
            <w:shd w:val="clear" w:color="auto" w:fill="E6B8B8"/>
          </w:tcPr>
          <w:p w:rsidR="00830447" w:rsidRDefault="00830447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830447" w:rsidRDefault="00702574">
            <w:pPr>
              <w:pStyle w:val="TableParagraph"/>
              <w:spacing w:before="1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35806.5</w:t>
            </w:r>
          </w:p>
        </w:tc>
      </w:tr>
    </w:tbl>
    <w:p w:rsidR="00702574" w:rsidRDefault="00702574"/>
    <w:sectPr w:rsidR="00702574">
      <w:footerReference w:type="default" r:id="rId8"/>
      <w:pgSz w:w="14400" w:h="10800" w:orient="landscape"/>
      <w:pgMar w:top="820" w:right="360" w:bottom="560" w:left="60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EC" w:rsidRDefault="001D64EC">
      <w:r>
        <w:separator/>
      </w:r>
    </w:p>
  </w:endnote>
  <w:endnote w:type="continuationSeparator" w:id="0">
    <w:p w:rsidR="001D64EC" w:rsidRDefault="001D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C0" w:rsidRDefault="001D64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8.05pt;margin-top:507.55pt;width:10.7pt;height:15.45pt;z-index:-88504;mso-position-horizontal-relative:page;mso-position-vertical-relative:page" filled="f" stroked="f">
          <v:textbox inset="0,0,0,0">
            <w:txbxContent>
              <w:p w:rsidR="00DF1BC0" w:rsidRDefault="00DF1BC0">
                <w:pPr>
                  <w:spacing w:before="12"/>
                  <w:ind w:left="40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622422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0370">
                  <w:rPr>
                    <w:rFonts w:ascii="Arial"/>
                    <w:b/>
                    <w:noProof/>
                    <w:color w:val="622422"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C0" w:rsidRDefault="001D64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2.35pt;margin-top:507.55pt;width:15.45pt;height:15.45pt;z-index:-88480;mso-position-horizontal-relative:page;mso-position-vertical-relative:page" filled="f" stroked="f">
          <v:textbox inset="0,0,0,0">
            <w:txbxContent>
              <w:p w:rsidR="00DF1BC0" w:rsidRDefault="00DF1BC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622422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C0" w:rsidRDefault="001D64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2.95pt;margin-top:507.55pt;width:14.25pt;height:15.45pt;z-index:-88456;mso-position-horizontal-relative:page;mso-position-vertical-relative:page" filled="f" stroked="f">
          <v:textbox inset="0,0,0,0">
            <w:txbxContent>
              <w:p w:rsidR="00DF1BC0" w:rsidRDefault="00DF1BC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622422"/>
                    <w:spacing w:val="-12"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EC" w:rsidRDefault="001D64EC">
      <w:r>
        <w:separator/>
      </w:r>
    </w:p>
  </w:footnote>
  <w:footnote w:type="continuationSeparator" w:id="0">
    <w:p w:rsidR="001D64EC" w:rsidRDefault="001D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447"/>
    <w:rsid w:val="00022789"/>
    <w:rsid w:val="00036B63"/>
    <w:rsid w:val="000552B5"/>
    <w:rsid w:val="0008643A"/>
    <w:rsid w:val="00090CB8"/>
    <w:rsid w:val="000C4DD9"/>
    <w:rsid w:val="000C4E57"/>
    <w:rsid w:val="000D7660"/>
    <w:rsid w:val="00100588"/>
    <w:rsid w:val="001015C4"/>
    <w:rsid w:val="00103E57"/>
    <w:rsid w:val="00152B93"/>
    <w:rsid w:val="00176CC4"/>
    <w:rsid w:val="001821A2"/>
    <w:rsid w:val="001C4ABC"/>
    <w:rsid w:val="001D64EC"/>
    <w:rsid w:val="00205543"/>
    <w:rsid w:val="00236EC5"/>
    <w:rsid w:val="002454D4"/>
    <w:rsid w:val="002A5729"/>
    <w:rsid w:val="003009B3"/>
    <w:rsid w:val="00304B41"/>
    <w:rsid w:val="0037503B"/>
    <w:rsid w:val="0039410E"/>
    <w:rsid w:val="003973ED"/>
    <w:rsid w:val="003A1003"/>
    <w:rsid w:val="003A4DD5"/>
    <w:rsid w:val="00404501"/>
    <w:rsid w:val="00464FA7"/>
    <w:rsid w:val="0049291B"/>
    <w:rsid w:val="004D0E9D"/>
    <w:rsid w:val="0050450C"/>
    <w:rsid w:val="00591047"/>
    <w:rsid w:val="005B4521"/>
    <w:rsid w:val="005B476A"/>
    <w:rsid w:val="00604AE9"/>
    <w:rsid w:val="00607A0A"/>
    <w:rsid w:val="00630C25"/>
    <w:rsid w:val="00696DF2"/>
    <w:rsid w:val="006C77E6"/>
    <w:rsid w:val="006E51AC"/>
    <w:rsid w:val="00701664"/>
    <w:rsid w:val="00702574"/>
    <w:rsid w:val="00746AE0"/>
    <w:rsid w:val="00760FEC"/>
    <w:rsid w:val="00802AE0"/>
    <w:rsid w:val="00813EFE"/>
    <w:rsid w:val="00815DD8"/>
    <w:rsid w:val="00830447"/>
    <w:rsid w:val="00833AA0"/>
    <w:rsid w:val="00863AA9"/>
    <w:rsid w:val="0089229E"/>
    <w:rsid w:val="00892383"/>
    <w:rsid w:val="008D4C3D"/>
    <w:rsid w:val="008D6154"/>
    <w:rsid w:val="008E5B05"/>
    <w:rsid w:val="008F1AC6"/>
    <w:rsid w:val="00A045FE"/>
    <w:rsid w:val="00A835CE"/>
    <w:rsid w:val="00A846F5"/>
    <w:rsid w:val="00AB7960"/>
    <w:rsid w:val="00B1130A"/>
    <w:rsid w:val="00B34330"/>
    <w:rsid w:val="00B344D7"/>
    <w:rsid w:val="00B5751E"/>
    <w:rsid w:val="00B8450A"/>
    <w:rsid w:val="00B938F3"/>
    <w:rsid w:val="00BA64BB"/>
    <w:rsid w:val="00BC5626"/>
    <w:rsid w:val="00BD5F4B"/>
    <w:rsid w:val="00BF04A3"/>
    <w:rsid w:val="00C063A6"/>
    <w:rsid w:val="00C7016B"/>
    <w:rsid w:val="00CA0079"/>
    <w:rsid w:val="00CD43A4"/>
    <w:rsid w:val="00CE49FD"/>
    <w:rsid w:val="00CF3C90"/>
    <w:rsid w:val="00D05405"/>
    <w:rsid w:val="00D114ED"/>
    <w:rsid w:val="00D40DE3"/>
    <w:rsid w:val="00D618BA"/>
    <w:rsid w:val="00DC56B5"/>
    <w:rsid w:val="00DE4099"/>
    <w:rsid w:val="00DF1BC0"/>
    <w:rsid w:val="00E77C87"/>
    <w:rsid w:val="00E96CEE"/>
    <w:rsid w:val="00EA3C68"/>
    <w:rsid w:val="00EC0370"/>
    <w:rsid w:val="00EF7FEC"/>
    <w:rsid w:val="00F00685"/>
    <w:rsid w:val="00F046B3"/>
    <w:rsid w:val="00F62C15"/>
    <w:rsid w:val="00F7253A"/>
    <w:rsid w:val="00FB052E"/>
    <w:rsid w:val="00FC6B69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DC0975"/>
  <w15:docId w15:val="{8DE1F2B0-706C-4DF3-8168-9F8AAC5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29"/>
      <w:ind w:left="244" w:right="800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A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0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7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F1BC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BAHRUZ-ABA</dc:creator>
  <cp:lastModifiedBy>user</cp:lastModifiedBy>
  <cp:revision>30</cp:revision>
  <dcterms:created xsi:type="dcterms:W3CDTF">2018-06-27T10:31:00Z</dcterms:created>
  <dcterms:modified xsi:type="dcterms:W3CDTF">2018-08-15T10:52:00Z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2018-06-27T00:00:00Z</vt:filetime>
  </property>
</Properties>
</file>